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仿宋_GB2312" w:hAnsi="仿宋_GB2312" w:eastAsia="宋体"/>
          <w:b/>
          <w:color w:val="000000" w:themeColor="text1"/>
          <w:sz w:val="24"/>
          <w:u w:val="single"/>
          <w14:textFill>
            <w14:solidFill>
              <w14:schemeClr w14:val="tx1"/>
            </w14:solidFill>
          </w14:textFill>
        </w:rPr>
      </w:pPr>
      <w:r>
        <w:rPr>
          <w:rFonts w:hint="eastAsia" w:ascii="宋体" w:hAnsi="宋体" w:eastAsia="宋体" w:cs="宋体"/>
          <w:b/>
          <w:bCs/>
          <w:color w:val="000000" w:themeColor="text1"/>
          <w:sz w:val="32"/>
          <w:szCs w:val="32"/>
          <w:lang w:eastAsia="zh-CN"/>
          <w14:textFill>
            <w14:solidFill>
              <w14:schemeClr w14:val="tx1"/>
            </w14:solidFill>
          </w14:textFill>
        </w:rPr>
        <w:t>亿利达疗休养服务采购项目招标文件</w:t>
      </w:r>
    </w:p>
    <w:p>
      <w:pPr>
        <w:adjustRightInd w:val="0"/>
        <w:snapToGrid w:val="0"/>
        <w:spacing w:after="120" w:line="360" w:lineRule="auto"/>
        <w:jc w:val="center"/>
        <w:rPr>
          <w:rFonts w:hint="eastAsia" w:ascii="黑体" w:hAnsi="黑体" w:eastAsia="黑体" w:cs="黑体"/>
          <w:b/>
          <w:color w:val="000000" w:themeColor="text1"/>
          <w:sz w:val="84"/>
          <w:szCs w:val="84"/>
          <w14:textFill>
            <w14:solidFill>
              <w14:schemeClr w14:val="tx1"/>
            </w14:solidFill>
          </w14:textFill>
        </w:rPr>
      </w:pPr>
      <w:r>
        <w:rPr>
          <w:rFonts w:hint="eastAsia" w:ascii="黑体" w:hAnsi="黑体" w:eastAsia="黑体" w:cs="黑体"/>
          <w:b/>
          <w:color w:val="000000" w:themeColor="text1"/>
          <w:sz w:val="84"/>
          <w:szCs w:val="84"/>
          <w14:textFill>
            <w14:solidFill>
              <w14:schemeClr w14:val="tx1"/>
            </w14:solidFill>
          </w14:textFill>
        </w:rPr>
        <w:t>招 标 文 件</w:t>
      </w:r>
    </w:p>
    <w:p>
      <w:pPr>
        <w:adjustRightInd w:val="0"/>
        <w:snapToGrid w:val="0"/>
        <w:spacing w:line="360" w:lineRule="auto"/>
        <w:jc w:val="cente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（项目编号：</w:t>
      </w:r>
      <w:r>
        <w:rPr>
          <w:rFonts w:hint="eastAsia" w:ascii="宋体" w:hAnsi="宋体" w:eastAsia="宋体" w:cs="宋体"/>
          <w:b/>
          <w:bCs/>
          <w:color w:val="000000" w:themeColor="text1"/>
          <w:sz w:val="28"/>
          <w:szCs w:val="28"/>
          <w:highlight w:val="none"/>
          <w:lang w:val="en-US" w:eastAsia="zh-CN"/>
          <w14:textFill>
            <w14:solidFill>
              <w14:schemeClr w14:val="tx1"/>
            </w14:solidFill>
          </w14:textFill>
        </w:rPr>
        <w:t>YLD-ZB-20240403</w:t>
      </w:r>
      <w:r>
        <w:rPr>
          <w:rFonts w:hint="eastAsia" w:ascii="宋体" w:hAnsi="宋体" w:eastAsia="宋体" w:cs="宋体"/>
          <w:b/>
          <w:bCs/>
          <w:color w:val="000000" w:themeColor="text1"/>
          <w:sz w:val="28"/>
          <w:szCs w:val="28"/>
          <w:highlight w:val="none"/>
          <w14:textFill>
            <w14:solidFill>
              <w14:schemeClr w14:val="tx1"/>
            </w14:solidFill>
          </w14:textFill>
        </w:rPr>
        <w:t>）</w:t>
      </w:r>
    </w:p>
    <w:p>
      <w:pPr>
        <w:adjustRightInd w:val="0"/>
        <w:snapToGrid w:val="0"/>
        <w:spacing w:after="120" w:line="360" w:lineRule="auto"/>
        <w:jc w:val="center"/>
        <w:rPr>
          <w:rFonts w:ascii="仿宋_GB2312" w:hAnsi="仿宋_GB2312"/>
          <w:b/>
          <w:color w:val="000000" w:themeColor="text1"/>
          <w:sz w:val="24"/>
          <w14:textFill>
            <w14:solidFill>
              <w14:schemeClr w14:val="tx1"/>
            </w14:solidFill>
          </w14:textFill>
        </w:rPr>
      </w:pPr>
    </w:p>
    <w:p>
      <w:pPr>
        <w:adjustRightInd w:val="0"/>
        <w:snapToGrid w:val="0"/>
        <w:spacing w:after="120" w:line="360" w:lineRule="auto"/>
        <w:jc w:val="center"/>
        <w:rPr>
          <w:rFonts w:ascii="仿宋_GB2312" w:hAnsi="仿宋_GB2312"/>
          <w:b/>
          <w:color w:val="000000" w:themeColor="text1"/>
          <w:sz w:val="24"/>
          <w14:textFill>
            <w14:solidFill>
              <w14:schemeClr w14:val="tx1"/>
            </w14:solidFill>
          </w14:textFill>
        </w:rPr>
      </w:pPr>
    </w:p>
    <w:p>
      <w:pPr>
        <w:adjustRightInd w:val="0"/>
        <w:snapToGrid w:val="0"/>
        <w:spacing w:after="120" w:line="360" w:lineRule="auto"/>
        <w:jc w:val="center"/>
        <w:rPr>
          <w:rFonts w:ascii="仿宋_GB2312" w:hAnsi="仿宋_GB2312" w:eastAsia="宋体"/>
          <w:b/>
          <w:color w:val="000000" w:themeColor="text1"/>
          <w:sz w:val="24"/>
          <w14:textFill>
            <w14:solidFill>
              <w14:schemeClr w14:val="tx1"/>
            </w14:solidFill>
          </w14:textFill>
        </w:rPr>
      </w:pPr>
    </w:p>
    <w:p>
      <w:pPr>
        <w:pStyle w:val="34"/>
        <w:rPr>
          <w:color w:val="000000" w:themeColor="text1"/>
          <w14:textFill>
            <w14:solidFill>
              <w14:schemeClr w14:val="tx1"/>
            </w14:solidFill>
          </w14:textFill>
        </w:rPr>
      </w:pPr>
    </w:p>
    <w:tbl>
      <w:tblPr>
        <w:tblStyle w:val="48"/>
        <w:tblW w:w="7091" w:type="dxa"/>
        <w:jc w:val="center"/>
        <w:tblLayout w:type="fixed"/>
        <w:tblCellMar>
          <w:top w:w="0" w:type="dxa"/>
          <w:left w:w="108" w:type="dxa"/>
          <w:bottom w:w="0" w:type="dxa"/>
          <w:right w:w="108" w:type="dxa"/>
        </w:tblCellMar>
      </w:tblPr>
      <w:tblGrid>
        <w:gridCol w:w="2313"/>
        <w:gridCol w:w="4778"/>
      </w:tblGrid>
      <w:tr>
        <w:tblPrEx>
          <w:tblCellMar>
            <w:top w:w="0" w:type="dxa"/>
            <w:left w:w="108" w:type="dxa"/>
            <w:bottom w:w="0" w:type="dxa"/>
            <w:right w:w="108" w:type="dxa"/>
          </w:tblCellMar>
        </w:tblPrEx>
        <w:trPr>
          <w:trHeight w:val="983" w:hRule="atLeast"/>
          <w:jc w:val="center"/>
        </w:trPr>
        <w:tc>
          <w:tcPr>
            <w:tcW w:w="2313" w:type="dxa"/>
            <w:vAlign w:val="center"/>
          </w:tcPr>
          <w:p>
            <w:pPr>
              <w:adjustRightInd w:val="0"/>
              <w:snapToGrid w:val="0"/>
              <w:spacing w:line="360" w:lineRule="auto"/>
              <w:jc w:val="distribute"/>
              <w:rPr>
                <w:rFonts w:ascii="仿宋_GB2312" w:hAnsi="仿宋_GB2312"/>
                <w:b/>
                <w:color w:val="000000" w:themeColor="text1"/>
                <w:sz w:val="32"/>
                <w:szCs w:val="32"/>
                <w14:textFill>
                  <w14:solidFill>
                    <w14:schemeClr w14:val="tx1"/>
                  </w14:solidFill>
                </w14:textFill>
              </w:rPr>
            </w:pPr>
            <w:r>
              <w:rPr>
                <w:rFonts w:hint="eastAsia" w:ascii="仿宋_GB2312" w:hAnsi="仿宋_GB2312"/>
                <w:b/>
                <w:color w:val="000000" w:themeColor="text1"/>
                <w:sz w:val="32"/>
                <w:szCs w:val="32"/>
                <w14:textFill>
                  <w14:solidFill>
                    <w14:schemeClr w14:val="tx1"/>
                  </w14:solidFill>
                </w14:textFill>
              </w:rPr>
              <w:t>招标人：</w:t>
            </w:r>
          </w:p>
        </w:tc>
        <w:tc>
          <w:tcPr>
            <w:tcW w:w="4778" w:type="dxa"/>
            <w:vAlign w:val="center"/>
          </w:tcPr>
          <w:p>
            <w:pPr>
              <w:adjustRightInd w:val="0"/>
              <w:snapToGrid w:val="0"/>
              <w:spacing w:line="360" w:lineRule="auto"/>
              <w:jc w:val="left"/>
              <w:rPr>
                <w:rFonts w:hint="default" w:ascii="仿宋_GB2312" w:hAnsi="仿宋_GB2312" w:eastAsia="宋体"/>
                <w:b/>
                <w:color w:val="000000" w:themeColor="text1"/>
                <w:sz w:val="32"/>
                <w:szCs w:val="32"/>
                <w:lang w:val="en-US" w:eastAsia="zh-CN"/>
                <w14:textFill>
                  <w14:solidFill>
                    <w14:schemeClr w14:val="tx1"/>
                  </w14:solidFill>
                </w14:textFill>
              </w:rPr>
            </w:pPr>
            <w:r>
              <w:rPr>
                <w:rFonts w:hint="eastAsia" w:ascii="宋体" w:hAnsi="宋体" w:eastAsia="宋体"/>
                <w:b/>
                <w:bCs/>
                <w:color w:val="000000" w:themeColor="text1"/>
                <w:sz w:val="32"/>
                <w:szCs w:val="32"/>
                <w:lang w:val="en-US" w:eastAsia="zh-CN"/>
                <w14:textFill>
                  <w14:solidFill>
                    <w14:schemeClr w14:val="tx1"/>
                  </w14:solidFill>
                </w14:textFill>
              </w:rPr>
              <w:t>浙江亿利达风机股份有限公司</w:t>
            </w:r>
          </w:p>
        </w:tc>
      </w:tr>
    </w:tbl>
    <w:p>
      <w:pPr>
        <w:adjustRightInd w:val="0"/>
        <w:snapToGrid w:val="0"/>
        <w:spacing w:after="120" w:line="360" w:lineRule="auto"/>
        <w:jc w:val="center"/>
        <w:rPr>
          <w:rFonts w:ascii="仿宋_GB2312" w:hAnsi="仿宋_GB2312"/>
          <w:b/>
          <w:color w:val="000000" w:themeColor="text1"/>
          <w:sz w:val="32"/>
          <w:szCs w:val="32"/>
          <w14:textFill>
            <w14:solidFill>
              <w14:schemeClr w14:val="tx1"/>
            </w14:solidFill>
          </w14:textFill>
        </w:rPr>
      </w:pPr>
    </w:p>
    <w:p>
      <w:pPr>
        <w:adjustRightInd w:val="0"/>
        <w:snapToGrid w:val="0"/>
        <w:spacing w:after="120" w:line="360" w:lineRule="auto"/>
        <w:jc w:val="center"/>
        <w:rPr>
          <w:rFonts w:hint="eastAsia" w:ascii="仿宋_GB2312" w:hAnsi="仿宋_GB2312" w:eastAsia="EYInterstate Light"/>
          <w:color w:val="000000" w:themeColor="text1"/>
          <w:sz w:val="24"/>
          <w:highlight w:val="none"/>
          <w:lang w:eastAsia="zh-CN"/>
          <w14:textFill>
            <w14:solidFill>
              <w14:schemeClr w14:val="tx1"/>
            </w14:solidFill>
          </w14:textFill>
        </w:rPr>
        <w:sectPr>
          <w:headerReference r:id="rId3" w:type="default"/>
          <w:footerReference r:id="rId5" w:type="default"/>
          <w:headerReference r:id="rId4" w:type="even"/>
          <w:pgSz w:w="11850" w:h="16783"/>
          <w:pgMar w:top="1440" w:right="1800" w:bottom="1440" w:left="1800" w:header="1417" w:footer="1417" w:gutter="0"/>
          <w:pgBorders>
            <w:top w:val="none" w:sz="0" w:space="0"/>
            <w:left w:val="none" w:sz="0" w:space="0"/>
            <w:bottom w:val="none" w:sz="0" w:space="0"/>
            <w:right w:val="none" w:sz="0" w:space="0"/>
          </w:pgBorders>
          <w:pgNumType w:start="1"/>
          <w:cols w:space="720" w:num="1"/>
          <w:docGrid w:type="linesAndChars" w:linePitch="380" w:charSpace="0"/>
        </w:sectPr>
      </w:pPr>
      <w:r>
        <w:rPr>
          <w:rFonts w:hint="eastAsia" w:ascii="宋体" w:hAnsi="宋体" w:eastAsia="宋体" w:cs="宋体"/>
          <w:b/>
          <w:color w:val="000000" w:themeColor="text1"/>
          <w:sz w:val="32"/>
          <w:szCs w:val="32"/>
          <w:highlight w:val="none"/>
          <w:lang w:eastAsia="zh-CN"/>
          <w14:textFill>
            <w14:solidFill>
              <w14:schemeClr w14:val="tx1"/>
            </w14:solidFill>
          </w14:textFill>
        </w:rPr>
        <w:t>二〇二四年四月</w:t>
      </w:r>
    </w:p>
    <w:p>
      <w:pPr>
        <w:tabs>
          <w:tab w:val="left" w:leader="middleDot" w:pos="8190"/>
        </w:tabs>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目    录</w:t>
      </w:r>
    </w:p>
    <w:p>
      <w:pPr>
        <w:pStyle w:val="34"/>
        <w:tabs>
          <w:tab w:val="right" w:leader="hyphen" w:pos="8559"/>
          <w:tab w:val="clear" w:pos="360"/>
          <w:tab w:val="clear" w:pos="8280"/>
        </w:tabs>
        <w:rPr>
          <w:b/>
          <w:bCs/>
        </w:rPr>
      </w:pPr>
      <w:r>
        <w:rPr>
          <w:rFonts w:hint="eastAsia" w:ascii="宋体" w:hAnsi="宋体" w:eastAsia="宋体" w:cs="宋体"/>
          <w:b w:val="0"/>
          <w:bCs w:val="0"/>
          <w:color w:val="000000" w:themeColor="text1"/>
          <w:sz w:val="21"/>
          <w14:textFill>
            <w14:solidFill>
              <w14:schemeClr w14:val="tx1"/>
            </w14:solidFill>
          </w14:textFill>
        </w:rPr>
        <w:fldChar w:fldCharType="begin"/>
      </w:r>
      <w:r>
        <w:rPr>
          <w:rFonts w:hint="eastAsia" w:ascii="宋体" w:hAnsi="宋体" w:eastAsia="宋体" w:cs="宋体"/>
          <w:b w:val="0"/>
          <w:bCs w:val="0"/>
          <w:color w:val="000000" w:themeColor="text1"/>
          <w:sz w:val="21"/>
          <w14:textFill>
            <w14:solidFill>
              <w14:schemeClr w14:val="tx1"/>
            </w14:solidFill>
          </w14:textFill>
        </w:rPr>
        <w:instrText xml:space="preserve">TOC \o "1-2" \h \u </w:instrText>
      </w:r>
      <w:r>
        <w:rPr>
          <w:rFonts w:hint="eastAsia" w:ascii="宋体" w:hAnsi="宋体" w:eastAsia="宋体" w:cs="宋体"/>
          <w:b w:val="0"/>
          <w:bCs w:val="0"/>
          <w:color w:val="000000" w:themeColor="text1"/>
          <w:sz w:val="21"/>
          <w14:textFill>
            <w14:solidFill>
              <w14:schemeClr w14:val="tx1"/>
            </w14:solidFill>
          </w14:textFill>
        </w:rPr>
        <w:fldChar w:fldCharType="separate"/>
      </w:r>
      <w:r>
        <w:rPr>
          <w:rFonts w:hint="eastAsia" w:ascii="宋体" w:hAnsi="宋体" w:eastAsia="宋体" w:cs="宋体"/>
          <w:b/>
          <w:bCs/>
          <w:color w:val="000000" w:themeColor="text1"/>
          <w:szCs w:val="21"/>
          <w14:textFill>
            <w14:solidFill>
              <w14:schemeClr w14:val="tx1"/>
            </w14:solidFill>
          </w14:textFill>
        </w:rPr>
        <w:fldChar w:fldCharType="begin"/>
      </w:r>
      <w:r>
        <w:rPr>
          <w:rFonts w:hint="eastAsia" w:ascii="宋体" w:hAnsi="宋体" w:eastAsia="宋体" w:cs="宋体"/>
          <w:b/>
          <w:bCs/>
          <w:szCs w:val="21"/>
        </w:rPr>
        <w:instrText xml:space="preserve"> HYPERLINK \l _Toc31909 </w:instrText>
      </w:r>
      <w:r>
        <w:rPr>
          <w:rFonts w:hint="eastAsia" w:ascii="宋体" w:hAnsi="宋体" w:eastAsia="宋体" w:cs="宋体"/>
          <w:b/>
          <w:bCs/>
          <w:szCs w:val="21"/>
        </w:rPr>
        <w:fldChar w:fldCharType="separate"/>
      </w:r>
      <w:r>
        <w:rPr>
          <w:rFonts w:hint="eastAsia" w:ascii="黑体" w:hAnsi="黑体" w:cs="黑体"/>
          <w:b/>
          <w:bCs/>
        </w:rPr>
        <w:t xml:space="preserve">第一章  </w:t>
      </w:r>
      <w:r>
        <w:rPr>
          <w:rFonts w:hint="eastAsia" w:ascii="黑体" w:hAnsi="黑体" w:cs="黑体"/>
          <w:b/>
          <w:bCs/>
          <w:lang w:val="en-US" w:eastAsia="zh-CN"/>
        </w:rPr>
        <w:t>招标公告</w:t>
      </w:r>
      <w:r>
        <w:rPr>
          <w:b/>
          <w:bCs/>
        </w:rPr>
        <w:tab/>
      </w:r>
      <w:r>
        <w:rPr>
          <w:b/>
          <w:bCs/>
        </w:rPr>
        <w:fldChar w:fldCharType="begin"/>
      </w:r>
      <w:r>
        <w:rPr>
          <w:b/>
          <w:bCs/>
        </w:rPr>
        <w:instrText xml:space="preserve"> PAGEREF _Toc31909 \h </w:instrText>
      </w:r>
      <w:r>
        <w:rPr>
          <w:b/>
          <w:bCs/>
        </w:rPr>
        <w:fldChar w:fldCharType="separate"/>
      </w:r>
      <w:r>
        <w:rPr>
          <w:b/>
          <w:bCs/>
        </w:rPr>
        <w:t>4</w:t>
      </w:r>
      <w:r>
        <w:rPr>
          <w:b/>
          <w:bCs/>
        </w:rPr>
        <w:fldChar w:fldCharType="end"/>
      </w:r>
      <w:r>
        <w:rPr>
          <w:rFonts w:hint="eastAsia" w:ascii="宋体" w:hAnsi="宋体" w:eastAsia="宋体" w:cs="宋体"/>
          <w:b/>
          <w:bCs/>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_Toc790 </w:instrText>
      </w:r>
      <w:r>
        <w:rPr>
          <w:rFonts w:hint="eastAsia" w:ascii="宋体" w:hAnsi="宋体" w:eastAsia="宋体" w:cs="宋体"/>
          <w:b w:val="0"/>
          <w:bCs w:val="0"/>
          <w:szCs w:val="21"/>
        </w:rPr>
        <w:fldChar w:fldCharType="separate"/>
      </w:r>
      <w:r>
        <w:rPr>
          <w:rFonts w:hint="eastAsia" w:ascii="宋体" w:hAnsi="宋体" w:cs="宋体"/>
          <w:b w:val="0"/>
          <w:bCs w:val="0"/>
        </w:rPr>
        <w:t>一、 招标项目编号</w:t>
      </w:r>
      <w:r>
        <w:rPr>
          <w:b w:val="0"/>
          <w:bCs w:val="0"/>
        </w:rPr>
        <w:tab/>
      </w:r>
      <w:r>
        <w:rPr>
          <w:b w:val="0"/>
          <w:bCs w:val="0"/>
        </w:rPr>
        <w:fldChar w:fldCharType="begin"/>
      </w:r>
      <w:r>
        <w:rPr>
          <w:b w:val="0"/>
          <w:bCs w:val="0"/>
        </w:rPr>
        <w:instrText xml:space="preserve"> PAGEREF _Toc790 \h </w:instrText>
      </w:r>
      <w:r>
        <w:rPr>
          <w:b w:val="0"/>
          <w:bCs w:val="0"/>
        </w:rPr>
        <w:fldChar w:fldCharType="separate"/>
      </w:r>
      <w:r>
        <w:rPr>
          <w:b w:val="0"/>
          <w:bCs w:val="0"/>
        </w:rPr>
        <w:t>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_Toc29682 </w:instrText>
      </w:r>
      <w:r>
        <w:rPr>
          <w:rFonts w:hint="eastAsia" w:ascii="宋体" w:hAnsi="宋体" w:eastAsia="宋体" w:cs="宋体"/>
          <w:b w:val="0"/>
          <w:bCs w:val="0"/>
          <w:szCs w:val="21"/>
        </w:rPr>
        <w:fldChar w:fldCharType="separate"/>
      </w:r>
      <w:r>
        <w:rPr>
          <w:rFonts w:hint="eastAsia" w:ascii="宋体" w:hAnsi="宋体" w:cs="宋体"/>
          <w:b w:val="0"/>
          <w:bCs w:val="0"/>
        </w:rPr>
        <w:t>二、 项目名称</w:t>
      </w:r>
      <w:r>
        <w:rPr>
          <w:b w:val="0"/>
          <w:bCs w:val="0"/>
        </w:rPr>
        <w:tab/>
      </w:r>
      <w:r>
        <w:rPr>
          <w:b w:val="0"/>
          <w:bCs w:val="0"/>
        </w:rPr>
        <w:fldChar w:fldCharType="begin"/>
      </w:r>
      <w:r>
        <w:rPr>
          <w:b w:val="0"/>
          <w:bCs w:val="0"/>
        </w:rPr>
        <w:instrText xml:space="preserve"> PAGEREF _Toc29682 \h </w:instrText>
      </w:r>
      <w:r>
        <w:rPr>
          <w:b w:val="0"/>
          <w:bCs w:val="0"/>
        </w:rPr>
        <w:fldChar w:fldCharType="separate"/>
      </w:r>
      <w:r>
        <w:rPr>
          <w:b w:val="0"/>
          <w:bCs w:val="0"/>
        </w:rPr>
        <w:t>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_Toc23041 </w:instrText>
      </w:r>
      <w:r>
        <w:rPr>
          <w:rFonts w:hint="eastAsia" w:ascii="宋体" w:hAnsi="宋体" w:eastAsia="宋体" w:cs="宋体"/>
          <w:b w:val="0"/>
          <w:bCs w:val="0"/>
          <w:szCs w:val="21"/>
        </w:rPr>
        <w:fldChar w:fldCharType="separate"/>
      </w:r>
      <w:r>
        <w:rPr>
          <w:rFonts w:hint="eastAsia" w:ascii="宋体" w:hAnsi="宋体" w:cs="宋体"/>
          <w:b w:val="0"/>
          <w:bCs w:val="0"/>
        </w:rPr>
        <w:t>三、 招标方式</w:t>
      </w:r>
      <w:r>
        <w:rPr>
          <w:b w:val="0"/>
          <w:bCs w:val="0"/>
        </w:rPr>
        <w:tab/>
      </w:r>
      <w:r>
        <w:rPr>
          <w:b w:val="0"/>
          <w:bCs w:val="0"/>
        </w:rPr>
        <w:fldChar w:fldCharType="begin"/>
      </w:r>
      <w:r>
        <w:rPr>
          <w:b w:val="0"/>
          <w:bCs w:val="0"/>
        </w:rPr>
        <w:instrText xml:space="preserve"> PAGEREF _Toc23041 \h </w:instrText>
      </w:r>
      <w:r>
        <w:rPr>
          <w:b w:val="0"/>
          <w:bCs w:val="0"/>
        </w:rPr>
        <w:fldChar w:fldCharType="separate"/>
      </w:r>
      <w:r>
        <w:rPr>
          <w:b w:val="0"/>
          <w:bCs w:val="0"/>
        </w:rPr>
        <w:t>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_Toc28257 </w:instrText>
      </w:r>
      <w:r>
        <w:rPr>
          <w:rFonts w:hint="eastAsia" w:ascii="宋体" w:hAnsi="宋体" w:eastAsia="宋体" w:cs="宋体"/>
          <w:b w:val="0"/>
          <w:bCs w:val="0"/>
          <w:szCs w:val="21"/>
        </w:rPr>
        <w:fldChar w:fldCharType="separate"/>
      </w:r>
      <w:r>
        <w:rPr>
          <w:rFonts w:hint="eastAsia" w:ascii="宋体" w:hAnsi="宋体" w:cs="宋体"/>
          <w:b w:val="0"/>
          <w:bCs w:val="0"/>
          <w:lang w:val="en-US" w:eastAsia="zh-CN"/>
        </w:rPr>
        <w:t xml:space="preserve">四、 </w:t>
      </w:r>
      <w:r>
        <w:rPr>
          <w:rFonts w:hint="eastAsia" w:ascii="宋体" w:hAnsi="宋体" w:cs="宋体"/>
          <w:b w:val="0"/>
          <w:bCs w:val="0"/>
        </w:rPr>
        <w:t>招标</w:t>
      </w:r>
      <w:r>
        <w:rPr>
          <w:rFonts w:hint="eastAsia" w:ascii="宋体" w:hAnsi="宋体" w:cs="宋体"/>
          <w:b w:val="0"/>
          <w:bCs w:val="0"/>
          <w:lang w:val="en-US" w:eastAsia="zh-CN"/>
        </w:rPr>
        <w:t>具体服务路线</w:t>
      </w:r>
      <w:r>
        <w:rPr>
          <w:b w:val="0"/>
          <w:bCs w:val="0"/>
        </w:rPr>
        <w:tab/>
      </w:r>
      <w:r>
        <w:rPr>
          <w:b w:val="0"/>
          <w:bCs w:val="0"/>
        </w:rPr>
        <w:fldChar w:fldCharType="begin"/>
      </w:r>
      <w:r>
        <w:rPr>
          <w:b w:val="0"/>
          <w:bCs w:val="0"/>
        </w:rPr>
        <w:instrText xml:space="preserve"> PAGEREF _Toc28257 \h </w:instrText>
      </w:r>
      <w:r>
        <w:rPr>
          <w:b w:val="0"/>
          <w:bCs w:val="0"/>
        </w:rPr>
        <w:fldChar w:fldCharType="separate"/>
      </w:r>
      <w:r>
        <w:rPr>
          <w:b w:val="0"/>
          <w:bCs w:val="0"/>
        </w:rPr>
        <w:t>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_Toc19532 </w:instrText>
      </w:r>
      <w:r>
        <w:rPr>
          <w:rFonts w:hint="eastAsia" w:ascii="宋体" w:hAnsi="宋体" w:eastAsia="宋体" w:cs="宋体"/>
          <w:b w:val="0"/>
          <w:bCs w:val="0"/>
          <w:szCs w:val="21"/>
        </w:rPr>
        <w:fldChar w:fldCharType="separate"/>
      </w:r>
      <w:r>
        <w:rPr>
          <w:rFonts w:hint="eastAsia" w:ascii="宋体" w:hAnsi="宋体" w:cs="宋体"/>
          <w:b w:val="0"/>
          <w:bCs w:val="0"/>
        </w:rPr>
        <w:t>五、投标人资格要求</w:t>
      </w:r>
      <w:r>
        <w:rPr>
          <w:b w:val="0"/>
          <w:bCs w:val="0"/>
        </w:rPr>
        <w:tab/>
      </w:r>
      <w:r>
        <w:rPr>
          <w:b w:val="0"/>
          <w:bCs w:val="0"/>
        </w:rPr>
        <w:fldChar w:fldCharType="begin"/>
      </w:r>
      <w:r>
        <w:rPr>
          <w:b w:val="0"/>
          <w:bCs w:val="0"/>
        </w:rPr>
        <w:instrText xml:space="preserve"> PAGEREF _Toc19532 \h </w:instrText>
      </w:r>
      <w:r>
        <w:rPr>
          <w:b w:val="0"/>
          <w:bCs w:val="0"/>
        </w:rPr>
        <w:fldChar w:fldCharType="separate"/>
      </w:r>
      <w:r>
        <w:rPr>
          <w:b w:val="0"/>
          <w:bCs w:val="0"/>
        </w:rPr>
        <w:t>6</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_Toc21847 </w:instrText>
      </w:r>
      <w:r>
        <w:rPr>
          <w:rFonts w:hint="eastAsia" w:ascii="宋体" w:hAnsi="宋体" w:eastAsia="宋体" w:cs="宋体"/>
          <w:b w:val="0"/>
          <w:bCs w:val="0"/>
          <w:szCs w:val="21"/>
        </w:rPr>
        <w:fldChar w:fldCharType="separate"/>
      </w:r>
      <w:r>
        <w:rPr>
          <w:rFonts w:hint="eastAsia" w:ascii="宋体" w:hAnsi="宋体" w:cs="宋体"/>
          <w:b w:val="0"/>
          <w:bCs w:val="0"/>
          <w:highlight w:val="none"/>
        </w:rPr>
        <w:t>六、投标人报名时间及地点等</w:t>
      </w:r>
      <w:r>
        <w:rPr>
          <w:b w:val="0"/>
          <w:bCs w:val="0"/>
        </w:rPr>
        <w:tab/>
      </w:r>
      <w:r>
        <w:rPr>
          <w:b w:val="0"/>
          <w:bCs w:val="0"/>
        </w:rPr>
        <w:fldChar w:fldCharType="begin"/>
      </w:r>
      <w:r>
        <w:rPr>
          <w:b w:val="0"/>
          <w:bCs w:val="0"/>
        </w:rPr>
        <w:instrText xml:space="preserve"> PAGEREF _Toc21847 \h </w:instrText>
      </w:r>
      <w:r>
        <w:rPr>
          <w:b w:val="0"/>
          <w:bCs w:val="0"/>
        </w:rPr>
        <w:fldChar w:fldCharType="separate"/>
      </w:r>
      <w:r>
        <w:rPr>
          <w:b w:val="0"/>
          <w:bCs w:val="0"/>
        </w:rPr>
        <w:t>6</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_Toc13828 </w:instrText>
      </w:r>
      <w:r>
        <w:rPr>
          <w:rFonts w:hint="eastAsia" w:ascii="宋体" w:hAnsi="宋体" w:eastAsia="宋体" w:cs="宋体"/>
          <w:b w:val="0"/>
          <w:bCs w:val="0"/>
          <w:szCs w:val="21"/>
        </w:rPr>
        <w:fldChar w:fldCharType="separate"/>
      </w:r>
      <w:r>
        <w:rPr>
          <w:rFonts w:hint="eastAsia" w:ascii="宋体" w:hAnsi="宋体" w:eastAsia="宋体" w:cs="宋体"/>
          <w:b w:val="0"/>
          <w:bCs w:val="0"/>
        </w:rPr>
        <w:t>七、 投标截止时间</w:t>
      </w:r>
      <w:r>
        <w:rPr>
          <w:b w:val="0"/>
          <w:bCs w:val="0"/>
        </w:rPr>
        <w:tab/>
      </w:r>
      <w:r>
        <w:rPr>
          <w:b w:val="0"/>
          <w:bCs w:val="0"/>
        </w:rPr>
        <w:fldChar w:fldCharType="begin"/>
      </w:r>
      <w:r>
        <w:rPr>
          <w:b w:val="0"/>
          <w:bCs w:val="0"/>
        </w:rPr>
        <w:instrText xml:space="preserve"> PAGEREF _Toc13828 \h </w:instrText>
      </w:r>
      <w:r>
        <w:rPr>
          <w:b w:val="0"/>
          <w:bCs w:val="0"/>
        </w:rPr>
        <w:fldChar w:fldCharType="separate"/>
      </w:r>
      <w:r>
        <w:rPr>
          <w:b w:val="0"/>
          <w:bCs w:val="0"/>
        </w:rPr>
        <w:t>7</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_Toc13314 </w:instrText>
      </w:r>
      <w:r>
        <w:rPr>
          <w:rFonts w:hint="eastAsia" w:ascii="宋体" w:hAnsi="宋体" w:eastAsia="宋体" w:cs="宋体"/>
          <w:b w:val="0"/>
          <w:bCs w:val="0"/>
          <w:szCs w:val="21"/>
        </w:rPr>
        <w:fldChar w:fldCharType="separate"/>
      </w:r>
      <w:r>
        <w:rPr>
          <w:rFonts w:hint="eastAsia" w:ascii="宋体" w:hAnsi="宋体" w:eastAsia="宋体" w:cs="宋体"/>
          <w:b w:val="0"/>
          <w:bCs w:val="0"/>
        </w:rPr>
        <w:t>八、 投标地点</w:t>
      </w:r>
      <w:r>
        <w:rPr>
          <w:b w:val="0"/>
          <w:bCs w:val="0"/>
        </w:rPr>
        <w:tab/>
      </w:r>
      <w:r>
        <w:rPr>
          <w:b w:val="0"/>
          <w:bCs w:val="0"/>
        </w:rPr>
        <w:fldChar w:fldCharType="begin"/>
      </w:r>
      <w:r>
        <w:rPr>
          <w:b w:val="0"/>
          <w:bCs w:val="0"/>
        </w:rPr>
        <w:instrText xml:space="preserve"> PAGEREF _Toc13314 \h </w:instrText>
      </w:r>
      <w:r>
        <w:rPr>
          <w:b w:val="0"/>
          <w:bCs w:val="0"/>
        </w:rPr>
        <w:fldChar w:fldCharType="separate"/>
      </w:r>
      <w:r>
        <w:rPr>
          <w:b w:val="0"/>
          <w:bCs w:val="0"/>
        </w:rPr>
        <w:t>7</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_Toc24486 </w:instrText>
      </w:r>
      <w:r>
        <w:rPr>
          <w:rFonts w:hint="eastAsia" w:ascii="宋体" w:hAnsi="宋体" w:eastAsia="宋体" w:cs="宋体"/>
          <w:b w:val="0"/>
          <w:bCs w:val="0"/>
          <w:szCs w:val="21"/>
        </w:rPr>
        <w:fldChar w:fldCharType="separate"/>
      </w:r>
      <w:r>
        <w:rPr>
          <w:rFonts w:hint="eastAsia" w:ascii="宋体" w:hAnsi="宋体" w:eastAsia="宋体" w:cs="宋体"/>
          <w:b w:val="0"/>
          <w:bCs w:val="0"/>
        </w:rPr>
        <w:t>九、 开标时间</w:t>
      </w:r>
      <w:r>
        <w:rPr>
          <w:b w:val="0"/>
          <w:bCs w:val="0"/>
        </w:rPr>
        <w:tab/>
      </w:r>
      <w:r>
        <w:rPr>
          <w:b w:val="0"/>
          <w:bCs w:val="0"/>
        </w:rPr>
        <w:fldChar w:fldCharType="begin"/>
      </w:r>
      <w:r>
        <w:rPr>
          <w:b w:val="0"/>
          <w:bCs w:val="0"/>
        </w:rPr>
        <w:instrText xml:space="preserve"> PAGEREF _Toc24486 \h </w:instrText>
      </w:r>
      <w:r>
        <w:rPr>
          <w:b w:val="0"/>
          <w:bCs w:val="0"/>
        </w:rPr>
        <w:fldChar w:fldCharType="separate"/>
      </w:r>
      <w:r>
        <w:rPr>
          <w:b w:val="0"/>
          <w:bCs w:val="0"/>
        </w:rPr>
        <w:t>7</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_Toc6863 </w:instrText>
      </w:r>
      <w:r>
        <w:rPr>
          <w:rFonts w:hint="eastAsia" w:ascii="宋体" w:hAnsi="宋体" w:eastAsia="宋体" w:cs="宋体"/>
          <w:b w:val="0"/>
          <w:bCs w:val="0"/>
          <w:szCs w:val="21"/>
        </w:rPr>
        <w:fldChar w:fldCharType="separate"/>
      </w:r>
      <w:r>
        <w:rPr>
          <w:rFonts w:hint="eastAsia" w:ascii="宋体" w:hAnsi="宋体" w:eastAsia="宋体" w:cs="宋体"/>
          <w:b w:val="0"/>
          <w:bCs w:val="0"/>
        </w:rPr>
        <w:t>十、 开标地点</w:t>
      </w:r>
      <w:r>
        <w:rPr>
          <w:b w:val="0"/>
          <w:bCs w:val="0"/>
        </w:rPr>
        <w:tab/>
      </w:r>
      <w:r>
        <w:rPr>
          <w:b w:val="0"/>
          <w:bCs w:val="0"/>
        </w:rPr>
        <w:fldChar w:fldCharType="begin"/>
      </w:r>
      <w:r>
        <w:rPr>
          <w:b w:val="0"/>
          <w:bCs w:val="0"/>
        </w:rPr>
        <w:instrText xml:space="preserve"> PAGEREF _Toc6863 \h </w:instrText>
      </w:r>
      <w:r>
        <w:rPr>
          <w:b w:val="0"/>
          <w:bCs w:val="0"/>
        </w:rPr>
        <w:fldChar w:fldCharType="separate"/>
      </w:r>
      <w:r>
        <w:rPr>
          <w:b w:val="0"/>
          <w:bCs w:val="0"/>
        </w:rPr>
        <w:t>7</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_Toc25163 </w:instrText>
      </w:r>
      <w:r>
        <w:rPr>
          <w:rFonts w:hint="eastAsia" w:ascii="宋体" w:hAnsi="宋体" w:eastAsia="宋体" w:cs="宋体"/>
          <w:b w:val="0"/>
          <w:bCs w:val="0"/>
          <w:szCs w:val="21"/>
        </w:rPr>
        <w:fldChar w:fldCharType="separate"/>
      </w:r>
      <w:r>
        <w:rPr>
          <w:rFonts w:hint="eastAsia" w:ascii="宋体" w:hAnsi="宋体" w:eastAsia="宋体" w:cs="宋体"/>
          <w:b w:val="0"/>
          <w:bCs w:val="0"/>
        </w:rPr>
        <w:t>十一、投标保证金</w:t>
      </w:r>
      <w:r>
        <w:rPr>
          <w:b w:val="0"/>
          <w:bCs w:val="0"/>
        </w:rPr>
        <w:tab/>
      </w:r>
      <w:r>
        <w:rPr>
          <w:b w:val="0"/>
          <w:bCs w:val="0"/>
        </w:rPr>
        <w:fldChar w:fldCharType="begin"/>
      </w:r>
      <w:r>
        <w:rPr>
          <w:b w:val="0"/>
          <w:bCs w:val="0"/>
        </w:rPr>
        <w:instrText xml:space="preserve"> PAGEREF _Toc25163 \h </w:instrText>
      </w:r>
      <w:r>
        <w:rPr>
          <w:b w:val="0"/>
          <w:bCs w:val="0"/>
        </w:rPr>
        <w:fldChar w:fldCharType="separate"/>
      </w:r>
      <w:r>
        <w:rPr>
          <w:b w:val="0"/>
          <w:bCs w:val="0"/>
        </w:rPr>
        <w:t>7</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_Toc18273 </w:instrText>
      </w:r>
      <w:r>
        <w:rPr>
          <w:rFonts w:hint="eastAsia" w:ascii="宋体" w:hAnsi="宋体" w:eastAsia="宋体" w:cs="宋体"/>
          <w:b w:val="0"/>
          <w:bCs w:val="0"/>
          <w:szCs w:val="21"/>
        </w:rPr>
        <w:fldChar w:fldCharType="separate"/>
      </w:r>
      <w:r>
        <w:rPr>
          <w:rFonts w:hint="eastAsia" w:ascii="宋体" w:hAnsi="宋体" w:eastAsia="宋体" w:cs="宋体"/>
          <w:b w:val="0"/>
          <w:bCs w:val="0"/>
          <w:lang w:val="en-US" w:eastAsia="zh-CN"/>
        </w:rPr>
        <w:t>十二、</w:t>
      </w:r>
      <w:r>
        <w:rPr>
          <w:rFonts w:hint="eastAsia" w:ascii="宋体" w:hAnsi="宋体" w:eastAsia="宋体" w:cs="宋体"/>
          <w:b w:val="0"/>
          <w:bCs w:val="0"/>
        </w:rPr>
        <w:t>异议和投诉</w:t>
      </w:r>
      <w:r>
        <w:rPr>
          <w:b w:val="0"/>
          <w:bCs w:val="0"/>
        </w:rPr>
        <w:tab/>
      </w:r>
      <w:r>
        <w:rPr>
          <w:b w:val="0"/>
          <w:bCs w:val="0"/>
        </w:rPr>
        <w:fldChar w:fldCharType="begin"/>
      </w:r>
      <w:r>
        <w:rPr>
          <w:b w:val="0"/>
          <w:bCs w:val="0"/>
        </w:rPr>
        <w:instrText xml:space="preserve"> PAGEREF _Toc18273 \h </w:instrText>
      </w:r>
      <w:r>
        <w:rPr>
          <w:b w:val="0"/>
          <w:bCs w:val="0"/>
        </w:rPr>
        <w:fldChar w:fldCharType="separate"/>
      </w:r>
      <w:r>
        <w:rPr>
          <w:b w:val="0"/>
          <w:bCs w:val="0"/>
        </w:rPr>
        <w:t>8</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_Toc12846 </w:instrText>
      </w:r>
      <w:r>
        <w:rPr>
          <w:rFonts w:hint="eastAsia" w:ascii="宋体" w:hAnsi="宋体" w:eastAsia="宋体" w:cs="宋体"/>
          <w:b w:val="0"/>
          <w:bCs w:val="0"/>
          <w:szCs w:val="21"/>
        </w:rPr>
        <w:fldChar w:fldCharType="separate"/>
      </w:r>
      <w:r>
        <w:rPr>
          <w:rFonts w:hint="eastAsia" w:ascii="宋体" w:hAnsi="宋体" w:eastAsia="宋体" w:cs="宋体"/>
          <w:b w:val="0"/>
          <w:bCs w:val="0"/>
        </w:rPr>
        <w:t>十三、其他事项</w:t>
      </w:r>
      <w:r>
        <w:rPr>
          <w:b w:val="0"/>
          <w:bCs w:val="0"/>
        </w:rPr>
        <w:tab/>
      </w:r>
      <w:r>
        <w:rPr>
          <w:b w:val="0"/>
          <w:bCs w:val="0"/>
        </w:rPr>
        <w:fldChar w:fldCharType="begin"/>
      </w:r>
      <w:r>
        <w:rPr>
          <w:b w:val="0"/>
          <w:bCs w:val="0"/>
        </w:rPr>
        <w:instrText xml:space="preserve"> PAGEREF _Toc12846 \h </w:instrText>
      </w:r>
      <w:r>
        <w:rPr>
          <w:b w:val="0"/>
          <w:bCs w:val="0"/>
        </w:rPr>
        <w:fldChar w:fldCharType="separate"/>
      </w:r>
      <w:r>
        <w:rPr>
          <w:b w:val="0"/>
          <w:bCs w:val="0"/>
        </w:rPr>
        <w:t>8</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_Toc32140 </w:instrText>
      </w:r>
      <w:r>
        <w:rPr>
          <w:rFonts w:hint="eastAsia" w:ascii="宋体" w:hAnsi="宋体" w:eastAsia="宋体" w:cs="宋体"/>
          <w:b w:val="0"/>
          <w:bCs w:val="0"/>
          <w:szCs w:val="21"/>
        </w:rPr>
        <w:fldChar w:fldCharType="separate"/>
      </w:r>
      <w:r>
        <w:rPr>
          <w:rFonts w:hint="eastAsia" w:ascii="宋体" w:hAnsi="宋体" w:cs="宋体"/>
          <w:b w:val="0"/>
          <w:bCs w:val="0"/>
        </w:rPr>
        <w:t>十四、公告发布范围</w:t>
      </w:r>
      <w:r>
        <w:rPr>
          <w:b w:val="0"/>
          <w:bCs w:val="0"/>
        </w:rPr>
        <w:tab/>
      </w:r>
      <w:r>
        <w:rPr>
          <w:b w:val="0"/>
          <w:bCs w:val="0"/>
        </w:rPr>
        <w:fldChar w:fldCharType="begin"/>
      </w:r>
      <w:r>
        <w:rPr>
          <w:b w:val="0"/>
          <w:bCs w:val="0"/>
        </w:rPr>
        <w:instrText xml:space="preserve"> PAGEREF _Toc32140 \h </w:instrText>
      </w:r>
      <w:r>
        <w:rPr>
          <w:b w:val="0"/>
          <w:bCs w:val="0"/>
        </w:rPr>
        <w:fldChar w:fldCharType="separate"/>
      </w:r>
      <w:r>
        <w:rPr>
          <w:b w:val="0"/>
          <w:bCs w:val="0"/>
        </w:rPr>
        <w:t>8</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_Toc10831 </w:instrText>
      </w:r>
      <w:r>
        <w:rPr>
          <w:rFonts w:hint="eastAsia" w:ascii="宋体" w:hAnsi="宋体" w:eastAsia="宋体" w:cs="宋体"/>
          <w:b w:val="0"/>
          <w:bCs w:val="0"/>
          <w:szCs w:val="21"/>
        </w:rPr>
        <w:fldChar w:fldCharType="separate"/>
      </w:r>
      <w:r>
        <w:rPr>
          <w:rFonts w:hint="eastAsia" w:ascii="宋体" w:hAnsi="宋体" w:eastAsia="宋体" w:cs="宋体"/>
          <w:b w:val="0"/>
          <w:bCs w:val="0"/>
        </w:rPr>
        <w:t>十五、联系方式</w:t>
      </w:r>
      <w:r>
        <w:rPr>
          <w:b w:val="0"/>
          <w:bCs w:val="0"/>
        </w:rPr>
        <w:tab/>
      </w:r>
      <w:r>
        <w:rPr>
          <w:b w:val="0"/>
          <w:bCs w:val="0"/>
        </w:rPr>
        <w:fldChar w:fldCharType="begin"/>
      </w:r>
      <w:r>
        <w:rPr>
          <w:b w:val="0"/>
          <w:bCs w:val="0"/>
        </w:rPr>
        <w:instrText xml:space="preserve"> PAGEREF _Toc10831 \h </w:instrText>
      </w:r>
      <w:r>
        <w:rPr>
          <w:b w:val="0"/>
          <w:bCs w:val="0"/>
        </w:rPr>
        <w:fldChar w:fldCharType="separate"/>
      </w:r>
      <w:r>
        <w:rPr>
          <w:b w:val="0"/>
          <w:bCs w:val="0"/>
        </w:rPr>
        <w:t>8</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4"/>
        <w:tabs>
          <w:tab w:val="right" w:leader="hyphen" w:pos="8559"/>
          <w:tab w:val="clear" w:pos="360"/>
          <w:tab w:val="clear" w:pos="8280"/>
        </w:tabs>
        <w:rPr>
          <w:b/>
          <w:bCs/>
        </w:rPr>
      </w:pPr>
      <w:r>
        <w:rPr>
          <w:rFonts w:hint="eastAsia" w:ascii="宋体" w:hAnsi="宋体" w:eastAsia="宋体" w:cs="宋体"/>
          <w:b/>
          <w:bCs/>
          <w:color w:val="000000" w:themeColor="text1"/>
          <w:szCs w:val="21"/>
          <w14:textFill>
            <w14:solidFill>
              <w14:schemeClr w14:val="tx1"/>
            </w14:solidFill>
          </w14:textFill>
        </w:rPr>
        <w:fldChar w:fldCharType="begin"/>
      </w:r>
      <w:r>
        <w:rPr>
          <w:rFonts w:hint="eastAsia" w:ascii="宋体" w:hAnsi="宋体" w:eastAsia="宋体" w:cs="宋体"/>
          <w:b/>
          <w:bCs/>
          <w:szCs w:val="21"/>
        </w:rPr>
        <w:instrText xml:space="preserve"> HYPERLINK \l _Toc8418 </w:instrText>
      </w:r>
      <w:r>
        <w:rPr>
          <w:rFonts w:hint="eastAsia" w:ascii="宋体" w:hAnsi="宋体" w:eastAsia="宋体" w:cs="宋体"/>
          <w:b/>
          <w:bCs/>
          <w:szCs w:val="21"/>
        </w:rPr>
        <w:fldChar w:fldCharType="separate"/>
      </w:r>
      <w:r>
        <w:rPr>
          <w:rFonts w:hint="eastAsia" w:ascii="黑体" w:hAnsi="黑体" w:cs="黑体"/>
          <w:b/>
          <w:bCs/>
        </w:rPr>
        <w:t>第二章  投标人须知</w:t>
      </w:r>
      <w:r>
        <w:rPr>
          <w:b/>
          <w:bCs/>
        </w:rPr>
        <w:tab/>
      </w:r>
      <w:r>
        <w:rPr>
          <w:b/>
          <w:bCs/>
        </w:rPr>
        <w:fldChar w:fldCharType="begin"/>
      </w:r>
      <w:r>
        <w:rPr>
          <w:b/>
          <w:bCs/>
        </w:rPr>
        <w:instrText xml:space="preserve"> PAGEREF _Toc8418 \h </w:instrText>
      </w:r>
      <w:r>
        <w:rPr>
          <w:b/>
          <w:bCs/>
        </w:rPr>
        <w:fldChar w:fldCharType="separate"/>
      </w:r>
      <w:r>
        <w:rPr>
          <w:b/>
          <w:bCs/>
        </w:rPr>
        <w:t>10</w:t>
      </w:r>
      <w:r>
        <w:rPr>
          <w:b/>
          <w:bCs/>
        </w:rPr>
        <w:fldChar w:fldCharType="end"/>
      </w:r>
      <w:r>
        <w:rPr>
          <w:rFonts w:hint="eastAsia" w:ascii="宋体" w:hAnsi="宋体" w:eastAsia="宋体" w:cs="宋体"/>
          <w:b/>
          <w:bCs/>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_Toc2625 </w:instrText>
      </w:r>
      <w:r>
        <w:rPr>
          <w:rFonts w:hint="eastAsia" w:ascii="宋体" w:hAnsi="宋体" w:eastAsia="宋体" w:cs="宋体"/>
          <w:b w:val="0"/>
          <w:bCs w:val="0"/>
          <w:szCs w:val="21"/>
        </w:rPr>
        <w:fldChar w:fldCharType="separate"/>
      </w:r>
      <w:r>
        <w:rPr>
          <w:rFonts w:hint="eastAsia" w:ascii="宋体" w:hAnsi="宋体" w:cs="宋体"/>
          <w:b w:val="0"/>
          <w:bCs w:val="0"/>
        </w:rPr>
        <w:t>投标人须知前附表</w:t>
      </w:r>
      <w:r>
        <w:rPr>
          <w:b w:val="0"/>
          <w:bCs w:val="0"/>
        </w:rPr>
        <w:tab/>
      </w:r>
      <w:r>
        <w:rPr>
          <w:b w:val="0"/>
          <w:bCs w:val="0"/>
        </w:rPr>
        <w:fldChar w:fldCharType="begin"/>
      </w:r>
      <w:r>
        <w:rPr>
          <w:b w:val="0"/>
          <w:bCs w:val="0"/>
        </w:rPr>
        <w:instrText xml:space="preserve"> PAGEREF _Toc2625 \h </w:instrText>
      </w:r>
      <w:r>
        <w:rPr>
          <w:b w:val="0"/>
          <w:bCs w:val="0"/>
        </w:rPr>
        <w:fldChar w:fldCharType="separate"/>
      </w:r>
      <w:r>
        <w:rPr>
          <w:b w:val="0"/>
          <w:bCs w:val="0"/>
        </w:rPr>
        <w:t>10</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_Toc23498 </w:instrText>
      </w:r>
      <w:r>
        <w:rPr>
          <w:rFonts w:hint="eastAsia" w:ascii="宋体" w:hAnsi="宋体" w:eastAsia="宋体" w:cs="宋体"/>
          <w:b w:val="0"/>
          <w:bCs w:val="0"/>
          <w:szCs w:val="21"/>
        </w:rPr>
        <w:fldChar w:fldCharType="separate"/>
      </w:r>
      <w:r>
        <w:rPr>
          <w:rFonts w:hint="eastAsia" w:ascii="宋体" w:hAnsi="宋体" w:cs="宋体"/>
          <w:b w:val="0"/>
          <w:bCs w:val="0"/>
        </w:rPr>
        <w:t>一、总则</w:t>
      </w:r>
      <w:r>
        <w:rPr>
          <w:b w:val="0"/>
          <w:bCs w:val="0"/>
        </w:rPr>
        <w:tab/>
      </w:r>
      <w:r>
        <w:rPr>
          <w:b w:val="0"/>
          <w:bCs w:val="0"/>
        </w:rPr>
        <w:fldChar w:fldCharType="begin"/>
      </w:r>
      <w:r>
        <w:rPr>
          <w:b w:val="0"/>
          <w:bCs w:val="0"/>
        </w:rPr>
        <w:instrText xml:space="preserve"> PAGEREF _Toc23498 \h </w:instrText>
      </w:r>
      <w:r>
        <w:rPr>
          <w:b w:val="0"/>
          <w:bCs w:val="0"/>
        </w:rPr>
        <w:fldChar w:fldCharType="separate"/>
      </w:r>
      <w:r>
        <w:rPr>
          <w:b w:val="0"/>
          <w:bCs w:val="0"/>
        </w:rPr>
        <w:t>12</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_Toc8044 </w:instrText>
      </w:r>
      <w:r>
        <w:rPr>
          <w:rFonts w:hint="eastAsia" w:ascii="宋体" w:hAnsi="宋体" w:eastAsia="宋体" w:cs="宋体"/>
          <w:b w:val="0"/>
          <w:bCs w:val="0"/>
          <w:szCs w:val="21"/>
        </w:rPr>
        <w:fldChar w:fldCharType="separate"/>
      </w:r>
      <w:r>
        <w:rPr>
          <w:rFonts w:hint="eastAsia" w:ascii="宋体" w:hAnsi="宋体" w:cs="宋体"/>
          <w:b w:val="0"/>
          <w:bCs w:val="0"/>
          <w:highlight w:val="none"/>
        </w:rPr>
        <w:t>二、招标文件</w:t>
      </w:r>
      <w:r>
        <w:rPr>
          <w:b w:val="0"/>
          <w:bCs w:val="0"/>
        </w:rPr>
        <w:tab/>
      </w:r>
      <w:r>
        <w:rPr>
          <w:b w:val="0"/>
          <w:bCs w:val="0"/>
        </w:rPr>
        <w:fldChar w:fldCharType="begin"/>
      </w:r>
      <w:r>
        <w:rPr>
          <w:b w:val="0"/>
          <w:bCs w:val="0"/>
        </w:rPr>
        <w:instrText xml:space="preserve"> PAGEREF _Toc8044 \h </w:instrText>
      </w:r>
      <w:r>
        <w:rPr>
          <w:b w:val="0"/>
          <w:bCs w:val="0"/>
        </w:rPr>
        <w:fldChar w:fldCharType="separate"/>
      </w:r>
      <w:r>
        <w:rPr>
          <w:b w:val="0"/>
          <w:bCs w:val="0"/>
        </w:rPr>
        <w:t>12</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_Toc18497 </w:instrText>
      </w:r>
      <w:r>
        <w:rPr>
          <w:rFonts w:hint="eastAsia" w:ascii="宋体" w:hAnsi="宋体" w:eastAsia="宋体" w:cs="宋体"/>
          <w:b w:val="0"/>
          <w:bCs w:val="0"/>
          <w:szCs w:val="21"/>
        </w:rPr>
        <w:fldChar w:fldCharType="separate"/>
      </w:r>
      <w:r>
        <w:rPr>
          <w:rFonts w:hint="eastAsia" w:ascii="宋体" w:hAnsi="宋体" w:cs="宋体"/>
          <w:b w:val="0"/>
          <w:bCs w:val="0"/>
        </w:rPr>
        <w:t>三、投标文件的编制</w:t>
      </w:r>
      <w:r>
        <w:rPr>
          <w:b w:val="0"/>
          <w:bCs w:val="0"/>
        </w:rPr>
        <w:tab/>
      </w:r>
      <w:r>
        <w:rPr>
          <w:b w:val="0"/>
          <w:bCs w:val="0"/>
        </w:rPr>
        <w:fldChar w:fldCharType="begin"/>
      </w:r>
      <w:r>
        <w:rPr>
          <w:b w:val="0"/>
          <w:bCs w:val="0"/>
        </w:rPr>
        <w:instrText xml:space="preserve"> PAGEREF _Toc18497 \h </w:instrText>
      </w:r>
      <w:r>
        <w:rPr>
          <w:b w:val="0"/>
          <w:bCs w:val="0"/>
        </w:rPr>
        <w:fldChar w:fldCharType="separate"/>
      </w:r>
      <w:r>
        <w:rPr>
          <w:b w:val="0"/>
          <w:bCs w:val="0"/>
        </w:rPr>
        <w:t>13</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_Toc23873 </w:instrText>
      </w:r>
      <w:r>
        <w:rPr>
          <w:rFonts w:hint="eastAsia" w:ascii="宋体" w:hAnsi="宋体" w:eastAsia="宋体" w:cs="宋体"/>
          <w:b w:val="0"/>
          <w:bCs w:val="0"/>
          <w:szCs w:val="21"/>
        </w:rPr>
        <w:fldChar w:fldCharType="separate"/>
      </w:r>
      <w:r>
        <w:rPr>
          <w:rFonts w:hint="eastAsia" w:ascii="宋体" w:hAnsi="宋体" w:cs="宋体"/>
          <w:b w:val="0"/>
          <w:bCs w:val="0"/>
        </w:rPr>
        <w:t>四、投标文件的递交</w:t>
      </w:r>
      <w:r>
        <w:rPr>
          <w:b w:val="0"/>
          <w:bCs w:val="0"/>
        </w:rPr>
        <w:tab/>
      </w:r>
      <w:r>
        <w:rPr>
          <w:b w:val="0"/>
          <w:bCs w:val="0"/>
        </w:rPr>
        <w:fldChar w:fldCharType="begin"/>
      </w:r>
      <w:r>
        <w:rPr>
          <w:b w:val="0"/>
          <w:bCs w:val="0"/>
        </w:rPr>
        <w:instrText xml:space="preserve"> PAGEREF _Toc23873 \h </w:instrText>
      </w:r>
      <w:r>
        <w:rPr>
          <w:b w:val="0"/>
          <w:bCs w:val="0"/>
        </w:rPr>
        <w:fldChar w:fldCharType="separate"/>
      </w:r>
      <w:r>
        <w:rPr>
          <w:b w:val="0"/>
          <w:bCs w:val="0"/>
        </w:rPr>
        <w:t>17</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_Toc28595 </w:instrText>
      </w:r>
      <w:r>
        <w:rPr>
          <w:rFonts w:hint="eastAsia" w:ascii="宋体" w:hAnsi="宋体" w:eastAsia="宋体" w:cs="宋体"/>
          <w:b w:val="0"/>
          <w:bCs w:val="0"/>
          <w:szCs w:val="21"/>
        </w:rPr>
        <w:fldChar w:fldCharType="separate"/>
      </w:r>
      <w:r>
        <w:rPr>
          <w:rFonts w:hint="eastAsia" w:ascii="宋体" w:hAnsi="宋体" w:cs="宋体"/>
          <w:b w:val="0"/>
          <w:bCs w:val="0"/>
        </w:rPr>
        <w:t>五、开标与评标</w:t>
      </w:r>
      <w:r>
        <w:rPr>
          <w:b w:val="0"/>
          <w:bCs w:val="0"/>
        </w:rPr>
        <w:tab/>
      </w:r>
      <w:r>
        <w:rPr>
          <w:b w:val="0"/>
          <w:bCs w:val="0"/>
        </w:rPr>
        <w:fldChar w:fldCharType="begin"/>
      </w:r>
      <w:r>
        <w:rPr>
          <w:b w:val="0"/>
          <w:bCs w:val="0"/>
        </w:rPr>
        <w:instrText xml:space="preserve"> PAGEREF _Toc28595 \h </w:instrText>
      </w:r>
      <w:r>
        <w:rPr>
          <w:b w:val="0"/>
          <w:bCs w:val="0"/>
        </w:rPr>
        <w:fldChar w:fldCharType="separate"/>
      </w:r>
      <w:r>
        <w:rPr>
          <w:b w:val="0"/>
          <w:bCs w:val="0"/>
        </w:rPr>
        <w:t>19</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_Toc1080 </w:instrText>
      </w:r>
      <w:r>
        <w:rPr>
          <w:rFonts w:hint="eastAsia" w:ascii="宋体" w:hAnsi="宋体" w:eastAsia="宋体" w:cs="宋体"/>
          <w:b w:val="0"/>
          <w:bCs w:val="0"/>
          <w:szCs w:val="21"/>
        </w:rPr>
        <w:fldChar w:fldCharType="separate"/>
      </w:r>
      <w:r>
        <w:rPr>
          <w:rFonts w:hint="eastAsia" w:ascii="宋体" w:hAnsi="宋体" w:cs="宋体"/>
          <w:b w:val="0"/>
          <w:bCs w:val="0"/>
        </w:rPr>
        <w:t>六、确定中标人及授予合同</w:t>
      </w:r>
      <w:r>
        <w:rPr>
          <w:b w:val="0"/>
          <w:bCs w:val="0"/>
        </w:rPr>
        <w:tab/>
      </w:r>
      <w:r>
        <w:rPr>
          <w:b w:val="0"/>
          <w:bCs w:val="0"/>
        </w:rPr>
        <w:fldChar w:fldCharType="begin"/>
      </w:r>
      <w:r>
        <w:rPr>
          <w:b w:val="0"/>
          <w:bCs w:val="0"/>
        </w:rPr>
        <w:instrText xml:space="preserve"> PAGEREF _Toc1080 \h </w:instrText>
      </w:r>
      <w:r>
        <w:rPr>
          <w:b w:val="0"/>
          <w:bCs w:val="0"/>
        </w:rPr>
        <w:fldChar w:fldCharType="separate"/>
      </w:r>
      <w:r>
        <w:rPr>
          <w:b w:val="0"/>
          <w:bCs w:val="0"/>
        </w:rPr>
        <w:t>20</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4"/>
        <w:tabs>
          <w:tab w:val="right" w:leader="hyphen" w:pos="8559"/>
          <w:tab w:val="clear" w:pos="360"/>
          <w:tab w:val="clear" w:pos="8280"/>
        </w:tabs>
        <w:rPr>
          <w:b/>
          <w:bCs/>
        </w:rPr>
      </w:pPr>
      <w:r>
        <w:rPr>
          <w:rFonts w:hint="eastAsia" w:ascii="宋体" w:hAnsi="宋体" w:eastAsia="宋体" w:cs="宋体"/>
          <w:b/>
          <w:bCs/>
          <w:color w:val="000000" w:themeColor="text1"/>
          <w:szCs w:val="21"/>
          <w14:textFill>
            <w14:solidFill>
              <w14:schemeClr w14:val="tx1"/>
            </w14:solidFill>
          </w14:textFill>
        </w:rPr>
        <w:fldChar w:fldCharType="begin"/>
      </w:r>
      <w:r>
        <w:rPr>
          <w:rFonts w:hint="eastAsia" w:ascii="宋体" w:hAnsi="宋体" w:eastAsia="宋体" w:cs="宋体"/>
          <w:b/>
          <w:bCs/>
          <w:szCs w:val="21"/>
        </w:rPr>
        <w:instrText xml:space="preserve"> HYPERLINK \l _Toc25231 </w:instrText>
      </w:r>
      <w:r>
        <w:rPr>
          <w:rFonts w:hint="eastAsia" w:ascii="宋体" w:hAnsi="宋体" w:eastAsia="宋体" w:cs="宋体"/>
          <w:b/>
          <w:bCs/>
          <w:szCs w:val="21"/>
        </w:rPr>
        <w:fldChar w:fldCharType="separate"/>
      </w:r>
      <w:r>
        <w:rPr>
          <w:rFonts w:hint="eastAsia"/>
          <w:b/>
          <w:bCs/>
        </w:rPr>
        <w:t>第三章</w:t>
      </w:r>
      <w:r>
        <w:rPr>
          <w:rFonts w:hint="eastAsia"/>
          <w:b/>
          <w:bCs/>
          <w:lang w:val="en-US"/>
        </w:rPr>
        <w:t xml:space="preserve"> 疗休养服务</w:t>
      </w:r>
      <w:r>
        <w:rPr>
          <w:rFonts w:hint="eastAsia"/>
          <w:b/>
          <w:bCs/>
        </w:rPr>
        <w:t>合同的一般和特殊条款</w:t>
      </w:r>
      <w:r>
        <w:rPr>
          <w:b/>
          <w:bCs/>
        </w:rPr>
        <w:tab/>
      </w:r>
      <w:r>
        <w:rPr>
          <w:b/>
          <w:bCs/>
        </w:rPr>
        <w:fldChar w:fldCharType="begin"/>
      </w:r>
      <w:r>
        <w:rPr>
          <w:b/>
          <w:bCs/>
        </w:rPr>
        <w:instrText xml:space="preserve"> PAGEREF _Toc25231 \h </w:instrText>
      </w:r>
      <w:r>
        <w:rPr>
          <w:b/>
          <w:bCs/>
        </w:rPr>
        <w:fldChar w:fldCharType="separate"/>
      </w:r>
      <w:r>
        <w:rPr>
          <w:b/>
          <w:bCs/>
        </w:rPr>
        <w:t>23</w:t>
      </w:r>
      <w:r>
        <w:rPr>
          <w:b/>
          <w:bCs/>
        </w:rPr>
        <w:fldChar w:fldCharType="end"/>
      </w:r>
      <w:r>
        <w:rPr>
          <w:rFonts w:hint="eastAsia" w:ascii="宋体" w:hAnsi="宋体" w:eastAsia="宋体" w:cs="宋体"/>
          <w:b/>
          <w:bCs/>
          <w:color w:val="000000" w:themeColor="text1"/>
          <w:szCs w:val="21"/>
          <w14:textFill>
            <w14:solidFill>
              <w14:schemeClr w14:val="tx1"/>
            </w14:solidFill>
          </w14:textFill>
        </w:rPr>
        <w:fldChar w:fldCharType="end"/>
      </w:r>
    </w:p>
    <w:p>
      <w:pPr>
        <w:pStyle w:val="34"/>
        <w:tabs>
          <w:tab w:val="right" w:leader="hyphen" w:pos="8559"/>
          <w:tab w:val="clear" w:pos="360"/>
          <w:tab w:val="clear" w:pos="828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_Toc13707 </w:instrText>
      </w:r>
      <w:r>
        <w:rPr>
          <w:rFonts w:hint="eastAsia" w:ascii="宋体" w:hAnsi="宋体" w:eastAsia="宋体" w:cs="宋体"/>
          <w:b w:val="0"/>
          <w:bCs w:val="0"/>
          <w:szCs w:val="21"/>
        </w:rPr>
        <w:fldChar w:fldCharType="separate"/>
      </w:r>
      <w:r>
        <w:rPr>
          <w:rFonts w:hint="eastAsia"/>
          <w:b w:val="0"/>
          <w:bCs w:val="0"/>
          <w:lang w:val="en-US"/>
        </w:rPr>
        <w:t>疗休养服务</w:t>
      </w:r>
      <w:r>
        <w:rPr>
          <w:rFonts w:hint="eastAsia"/>
          <w:b w:val="0"/>
          <w:bCs w:val="0"/>
        </w:rPr>
        <w:t>合同</w:t>
      </w:r>
      <w:r>
        <w:rPr>
          <w:b w:val="0"/>
          <w:bCs w:val="0"/>
        </w:rPr>
        <w:tab/>
      </w:r>
      <w:r>
        <w:rPr>
          <w:b w:val="0"/>
          <w:bCs w:val="0"/>
        </w:rPr>
        <w:fldChar w:fldCharType="begin"/>
      </w:r>
      <w:r>
        <w:rPr>
          <w:b w:val="0"/>
          <w:bCs w:val="0"/>
        </w:rPr>
        <w:instrText xml:space="preserve"> PAGEREF _Toc13707 \h </w:instrText>
      </w:r>
      <w:r>
        <w:rPr>
          <w:b w:val="0"/>
          <w:bCs w:val="0"/>
        </w:rPr>
        <w:fldChar w:fldCharType="separate"/>
      </w:r>
      <w:r>
        <w:rPr>
          <w:b w:val="0"/>
          <w:bCs w:val="0"/>
        </w:rPr>
        <w:t>23</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4"/>
        <w:tabs>
          <w:tab w:val="right" w:leader="hyphen" w:pos="8559"/>
          <w:tab w:val="clear" w:pos="360"/>
          <w:tab w:val="clear" w:pos="8280"/>
        </w:tabs>
        <w:rPr>
          <w:b/>
          <w:bCs/>
        </w:rPr>
      </w:pPr>
      <w:r>
        <w:rPr>
          <w:rFonts w:hint="eastAsia" w:ascii="宋体" w:hAnsi="宋体" w:eastAsia="宋体" w:cs="宋体"/>
          <w:b/>
          <w:bCs/>
          <w:color w:val="000000" w:themeColor="text1"/>
          <w:szCs w:val="21"/>
          <w14:textFill>
            <w14:solidFill>
              <w14:schemeClr w14:val="tx1"/>
            </w14:solidFill>
          </w14:textFill>
        </w:rPr>
        <w:fldChar w:fldCharType="begin"/>
      </w:r>
      <w:r>
        <w:rPr>
          <w:rFonts w:hint="eastAsia" w:ascii="宋体" w:hAnsi="宋体" w:eastAsia="宋体" w:cs="宋体"/>
          <w:b/>
          <w:bCs/>
          <w:szCs w:val="21"/>
        </w:rPr>
        <w:instrText xml:space="preserve"> HYPERLINK \l _Toc28032 </w:instrText>
      </w:r>
      <w:r>
        <w:rPr>
          <w:rFonts w:hint="eastAsia" w:ascii="宋体" w:hAnsi="宋体" w:eastAsia="宋体" w:cs="宋体"/>
          <w:b/>
          <w:bCs/>
          <w:szCs w:val="21"/>
        </w:rPr>
        <w:fldChar w:fldCharType="separate"/>
      </w:r>
      <w:r>
        <w:rPr>
          <w:rFonts w:hint="eastAsia"/>
          <w:b/>
          <w:bCs/>
          <w:highlight w:val="none"/>
        </w:rPr>
        <w:t>第四章  用户需求</w:t>
      </w:r>
      <w:r>
        <w:rPr>
          <w:b/>
          <w:bCs/>
        </w:rPr>
        <w:tab/>
      </w:r>
      <w:r>
        <w:rPr>
          <w:b/>
          <w:bCs/>
        </w:rPr>
        <w:fldChar w:fldCharType="begin"/>
      </w:r>
      <w:r>
        <w:rPr>
          <w:b/>
          <w:bCs/>
        </w:rPr>
        <w:instrText xml:space="preserve"> PAGEREF _Toc28032 \h </w:instrText>
      </w:r>
      <w:r>
        <w:rPr>
          <w:b/>
          <w:bCs/>
        </w:rPr>
        <w:fldChar w:fldCharType="separate"/>
      </w:r>
      <w:r>
        <w:rPr>
          <w:b/>
          <w:bCs/>
        </w:rPr>
        <w:t>30</w:t>
      </w:r>
      <w:r>
        <w:rPr>
          <w:b/>
          <w:bCs/>
        </w:rPr>
        <w:fldChar w:fldCharType="end"/>
      </w:r>
      <w:r>
        <w:rPr>
          <w:rFonts w:hint="eastAsia" w:ascii="宋体" w:hAnsi="宋体" w:eastAsia="宋体" w:cs="宋体"/>
          <w:b/>
          <w:bCs/>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_Toc530 </w:instrText>
      </w:r>
      <w:r>
        <w:rPr>
          <w:rFonts w:hint="eastAsia" w:ascii="宋体" w:hAnsi="宋体" w:eastAsia="宋体" w:cs="宋体"/>
          <w:b w:val="0"/>
          <w:bCs w:val="0"/>
          <w:szCs w:val="21"/>
        </w:rPr>
        <w:fldChar w:fldCharType="separate"/>
      </w:r>
      <w:r>
        <w:rPr>
          <w:rFonts w:hint="eastAsia" w:ascii="宋体" w:hAnsi="宋体" w:eastAsia="宋体" w:cs="宋体"/>
          <w:b w:val="0"/>
          <w:bCs w:val="0"/>
          <w:szCs w:val="32"/>
          <w:lang w:val="en-US" w:eastAsia="zh-CN"/>
        </w:rPr>
        <w:t>一、 项目概况</w:t>
      </w:r>
      <w:r>
        <w:rPr>
          <w:b w:val="0"/>
          <w:bCs w:val="0"/>
        </w:rPr>
        <w:tab/>
      </w:r>
      <w:r>
        <w:rPr>
          <w:b w:val="0"/>
          <w:bCs w:val="0"/>
        </w:rPr>
        <w:fldChar w:fldCharType="begin"/>
      </w:r>
      <w:r>
        <w:rPr>
          <w:b w:val="0"/>
          <w:bCs w:val="0"/>
        </w:rPr>
        <w:instrText xml:space="preserve"> PAGEREF _Toc530 \h </w:instrText>
      </w:r>
      <w:r>
        <w:rPr>
          <w:b w:val="0"/>
          <w:bCs w:val="0"/>
        </w:rPr>
        <w:fldChar w:fldCharType="separate"/>
      </w:r>
      <w:r>
        <w:rPr>
          <w:b w:val="0"/>
          <w:bCs w:val="0"/>
        </w:rPr>
        <w:t>30</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_Toc24951 </w:instrText>
      </w:r>
      <w:r>
        <w:rPr>
          <w:rFonts w:hint="eastAsia" w:ascii="宋体" w:hAnsi="宋体" w:eastAsia="宋体" w:cs="宋体"/>
          <w:b w:val="0"/>
          <w:bCs w:val="0"/>
          <w:szCs w:val="21"/>
        </w:rPr>
        <w:fldChar w:fldCharType="separate"/>
      </w:r>
      <w:r>
        <w:rPr>
          <w:rFonts w:hint="eastAsia" w:ascii="宋体" w:hAnsi="宋体" w:eastAsia="宋体" w:cs="宋体"/>
          <w:b w:val="0"/>
          <w:bCs w:val="0"/>
          <w:szCs w:val="32"/>
          <w:lang w:val="en-US" w:eastAsia="zh-CN"/>
        </w:rPr>
        <w:t xml:space="preserve">二、 </w:t>
      </w:r>
      <w:r>
        <w:rPr>
          <w:rFonts w:hint="eastAsia" w:ascii="宋体" w:hAnsi="宋体" w:cs="宋体"/>
          <w:b w:val="0"/>
          <w:bCs w:val="0"/>
          <w:szCs w:val="32"/>
          <w:lang w:val="en-US" w:eastAsia="zh-CN"/>
        </w:rPr>
        <w:t>具体服务路线</w:t>
      </w:r>
      <w:r>
        <w:rPr>
          <w:b w:val="0"/>
          <w:bCs w:val="0"/>
        </w:rPr>
        <w:tab/>
      </w:r>
      <w:r>
        <w:rPr>
          <w:b w:val="0"/>
          <w:bCs w:val="0"/>
        </w:rPr>
        <w:fldChar w:fldCharType="begin"/>
      </w:r>
      <w:r>
        <w:rPr>
          <w:b w:val="0"/>
          <w:bCs w:val="0"/>
        </w:rPr>
        <w:instrText xml:space="preserve"> PAGEREF _Toc24951 \h </w:instrText>
      </w:r>
      <w:r>
        <w:rPr>
          <w:b w:val="0"/>
          <w:bCs w:val="0"/>
        </w:rPr>
        <w:fldChar w:fldCharType="separate"/>
      </w:r>
      <w:r>
        <w:rPr>
          <w:b w:val="0"/>
          <w:bCs w:val="0"/>
        </w:rPr>
        <w:t>30</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_Toc13481 </w:instrText>
      </w:r>
      <w:r>
        <w:rPr>
          <w:rFonts w:hint="eastAsia" w:ascii="宋体" w:hAnsi="宋体" w:eastAsia="宋体" w:cs="宋体"/>
          <w:b w:val="0"/>
          <w:bCs w:val="0"/>
          <w:szCs w:val="21"/>
        </w:rPr>
        <w:fldChar w:fldCharType="separate"/>
      </w:r>
      <w:r>
        <w:rPr>
          <w:rFonts w:hint="eastAsia" w:ascii="宋体" w:hAnsi="宋体" w:eastAsia="宋体" w:cs="宋体"/>
          <w:b w:val="0"/>
          <w:bCs w:val="0"/>
          <w:szCs w:val="32"/>
          <w:lang w:val="en-US" w:eastAsia="zh-CN"/>
        </w:rPr>
        <w:t xml:space="preserve">三、 </w:t>
      </w:r>
      <w:r>
        <w:rPr>
          <w:rFonts w:hint="eastAsia" w:ascii="宋体" w:hAnsi="宋体" w:cs="宋体"/>
          <w:b w:val="0"/>
          <w:bCs w:val="0"/>
          <w:szCs w:val="32"/>
          <w:lang w:val="en-US" w:eastAsia="zh-CN"/>
        </w:rPr>
        <w:t>服务</w:t>
      </w:r>
      <w:r>
        <w:rPr>
          <w:rFonts w:hint="eastAsia" w:ascii="宋体" w:hAnsi="宋体" w:eastAsia="宋体" w:cs="宋体"/>
          <w:b w:val="0"/>
          <w:bCs w:val="0"/>
          <w:szCs w:val="32"/>
          <w:lang w:val="en-US" w:eastAsia="zh-CN"/>
        </w:rPr>
        <w:t>要求</w:t>
      </w:r>
      <w:r>
        <w:rPr>
          <w:b w:val="0"/>
          <w:bCs w:val="0"/>
        </w:rPr>
        <w:tab/>
      </w:r>
      <w:r>
        <w:rPr>
          <w:b w:val="0"/>
          <w:bCs w:val="0"/>
        </w:rPr>
        <w:fldChar w:fldCharType="begin"/>
      </w:r>
      <w:r>
        <w:rPr>
          <w:b w:val="0"/>
          <w:bCs w:val="0"/>
        </w:rPr>
        <w:instrText xml:space="preserve"> PAGEREF _Toc13481 \h </w:instrText>
      </w:r>
      <w:r>
        <w:rPr>
          <w:b w:val="0"/>
          <w:bCs w:val="0"/>
        </w:rPr>
        <w:fldChar w:fldCharType="separate"/>
      </w:r>
      <w:r>
        <w:rPr>
          <w:b w:val="0"/>
          <w:bCs w:val="0"/>
        </w:rPr>
        <w:t>32</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_Toc19682 </w:instrText>
      </w:r>
      <w:r>
        <w:rPr>
          <w:rFonts w:hint="eastAsia" w:ascii="宋体" w:hAnsi="宋体" w:eastAsia="宋体" w:cs="宋体"/>
          <w:b w:val="0"/>
          <w:bCs w:val="0"/>
          <w:szCs w:val="21"/>
        </w:rPr>
        <w:fldChar w:fldCharType="separate"/>
      </w:r>
      <w:r>
        <w:rPr>
          <w:rFonts w:hint="eastAsia" w:ascii="宋体" w:hAnsi="宋体" w:eastAsia="宋体" w:cs="宋体"/>
          <w:b w:val="0"/>
          <w:bCs w:val="0"/>
          <w:szCs w:val="32"/>
          <w:lang w:val="en-US" w:eastAsia="zh-CN"/>
        </w:rPr>
        <w:t xml:space="preserve">四、 </w:t>
      </w:r>
      <w:r>
        <w:rPr>
          <w:rFonts w:hint="default" w:ascii="宋体" w:hAnsi="宋体" w:eastAsia="宋体" w:cs="宋体"/>
          <w:b w:val="0"/>
          <w:bCs w:val="0"/>
          <w:szCs w:val="32"/>
          <w:lang w:val="en-US" w:eastAsia="zh-CN"/>
        </w:rPr>
        <w:t>考核及其他要求</w:t>
      </w:r>
      <w:r>
        <w:rPr>
          <w:b w:val="0"/>
          <w:bCs w:val="0"/>
        </w:rPr>
        <w:tab/>
      </w:r>
      <w:r>
        <w:rPr>
          <w:b w:val="0"/>
          <w:bCs w:val="0"/>
        </w:rPr>
        <w:fldChar w:fldCharType="begin"/>
      </w:r>
      <w:r>
        <w:rPr>
          <w:b w:val="0"/>
          <w:bCs w:val="0"/>
        </w:rPr>
        <w:instrText xml:space="preserve"> PAGEREF _Toc19682 \h </w:instrText>
      </w:r>
      <w:r>
        <w:rPr>
          <w:b w:val="0"/>
          <w:bCs w:val="0"/>
        </w:rPr>
        <w:fldChar w:fldCharType="separate"/>
      </w:r>
      <w:r>
        <w:rPr>
          <w:b w:val="0"/>
          <w:bCs w:val="0"/>
        </w:rPr>
        <w:t>34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_Toc23806 </w:instrText>
      </w:r>
      <w:r>
        <w:rPr>
          <w:rFonts w:hint="eastAsia" w:ascii="宋体" w:hAnsi="宋体" w:eastAsia="宋体" w:cs="宋体"/>
          <w:b w:val="0"/>
          <w:bCs w:val="0"/>
          <w:szCs w:val="21"/>
        </w:rPr>
        <w:fldChar w:fldCharType="separate"/>
      </w:r>
      <w:r>
        <w:rPr>
          <w:rFonts w:hint="eastAsia" w:ascii="宋体" w:hAnsi="宋体" w:eastAsia="宋体" w:cs="宋体"/>
          <w:b w:val="0"/>
          <w:bCs w:val="0"/>
          <w:szCs w:val="32"/>
          <w:lang w:val="en-US" w:eastAsia="zh-CN"/>
        </w:rPr>
        <w:t xml:space="preserve">五、 </w:t>
      </w:r>
      <w:r>
        <w:rPr>
          <w:rFonts w:hint="default" w:ascii="宋体" w:hAnsi="宋体" w:eastAsia="宋体" w:cs="宋体"/>
          <w:b w:val="0"/>
          <w:bCs w:val="0"/>
          <w:szCs w:val="32"/>
          <w:lang w:val="en-US" w:eastAsia="zh-CN"/>
        </w:rPr>
        <w:t>付款要求</w:t>
      </w:r>
      <w:r>
        <w:rPr>
          <w:b w:val="0"/>
          <w:bCs w:val="0"/>
        </w:rPr>
        <w:tab/>
      </w:r>
      <w:r>
        <w:rPr>
          <w:b w:val="0"/>
          <w:bCs w:val="0"/>
        </w:rPr>
        <w:fldChar w:fldCharType="begin"/>
      </w:r>
      <w:r>
        <w:rPr>
          <w:b w:val="0"/>
          <w:bCs w:val="0"/>
        </w:rPr>
        <w:instrText xml:space="preserve"> PAGEREF _Toc23806 \h </w:instrText>
      </w:r>
      <w:r>
        <w:rPr>
          <w:b w:val="0"/>
          <w:bCs w:val="0"/>
        </w:rPr>
        <w:fldChar w:fldCharType="separate"/>
      </w:r>
      <w:r>
        <w:rPr>
          <w:b w:val="0"/>
          <w:bCs w:val="0"/>
        </w:rPr>
        <w:t>36</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4"/>
        <w:tabs>
          <w:tab w:val="right" w:leader="hyphen" w:pos="8559"/>
          <w:tab w:val="clear" w:pos="360"/>
          <w:tab w:val="clear" w:pos="8280"/>
        </w:tabs>
        <w:rPr>
          <w:b/>
          <w:bCs/>
        </w:rPr>
      </w:pPr>
      <w:r>
        <w:rPr>
          <w:rFonts w:hint="eastAsia" w:ascii="宋体" w:hAnsi="宋体" w:eastAsia="宋体" w:cs="宋体"/>
          <w:b/>
          <w:bCs/>
          <w:color w:val="000000" w:themeColor="text1"/>
          <w:szCs w:val="21"/>
          <w14:textFill>
            <w14:solidFill>
              <w14:schemeClr w14:val="tx1"/>
            </w14:solidFill>
          </w14:textFill>
        </w:rPr>
        <w:fldChar w:fldCharType="begin"/>
      </w:r>
      <w:r>
        <w:rPr>
          <w:rFonts w:hint="eastAsia" w:ascii="宋体" w:hAnsi="宋体" w:eastAsia="宋体" w:cs="宋体"/>
          <w:b/>
          <w:bCs/>
          <w:szCs w:val="21"/>
        </w:rPr>
        <w:instrText xml:space="preserve"> HYPERLINK \l _Toc14278 </w:instrText>
      </w:r>
      <w:r>
        <w:rPr>
          <w:rFonts w:hint="eastAsia" w:ascii="宋体" w:hAnsi="宋体" w:eastAsia="宋体" w:cs="宋体"/>
          <w:b/>
          <w:bCs/>
          <w:szCs w:val="21"/>
        </w:rPr>
        <w:fldChar w:fldCharType="separate"/>
      </w:r>
      <w:r>
        <w:rPr>
          <w:rFonts w:hint="eastAsia"/>
          <w:b/>
          <w:bCs/>
        </w:rPr>
        <w:t>第五章  评标办法</w:t>
      </w:r>
      <w:r>
        <w:rPr>
          <w:b/>
          <w:bCs/>
        </w:rPr>
        <w:tab/>
      </w:r>
      <w:r>
        <w:rPr>
          <w:b/>
          <w:bCs/>
        </w:rPr>
        <w:fldChar w:fldCharType="begin"/>
      </w:r>
      <w:r>
        <w:rPr>
          <w:b/>
          <w:bCs/>
        </w:rPr>
        <w:instrText xml:space="preserve"> PAGEREF _Toc14278 \h </w:instrText>
      </w:r>
      <w:r>
        <w:rPr>
          <w:b/>
          <w:bCs/>
        </w:rPr>
        <w:fldChar w:fldCharType="separate"/>
      </w:r>
      <w:r>
        <w:rPr>
          <w:b/>
          <w:bCs/>
        </w:rPr>
        <w:t>36</w:t>
      </w:r>
      <w:r>
        <w:rPr>
          <w:b/>
          <w:bCs/>
        </w:rPr>
        <w:fldChar w:fldCharType="end"/>
      </w:r>
      <w:r>
        <w:rPr>
          <w:rFonts w:hint="eastAsia" w:ascii="宋体" w:hAnsi="宋体" w:eastAsia="宋体" w:cs="宋体"/>
          <w:b/>
          <w:bCs/>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_Toc1480 </w:instrText>
      </w:r>
      <w:r>
        <w:rPr>
          <w:rFonts w:hint="eastAsia" w:ascii="宋体" w:hAnsi="宋体" w:eastAsia="宋体" w:cs="宋体"/>
          <w:b w:val="0"/>
          <w:bCs w:val="0"/>
          <w:szCs w:val="21"/>
        </w:rPr>
        <w:fldChar w:fldCharType="separate"/>
      </w:r>
      <w:r>
        <w:rPr>
          <w:rFonts w:hint="eastAsia" w:ascii="宋体" w:hAnsi="宋体" w:cs="宋体"/>
          <w:b w:val="0"/>
          <w:bCs w:val="0"/>
        </w:rPr>
        <w:t>一、总则</w:t>
      </w:r>
      <w:r>
        <w:rPr>
          <w:b w:val="0"/>
          <w:bCs w:val="0"/>
        </w:rPr>
        <w:tab/>
      </w:r>
      <w:r>
        <w:rPr>
          <w:b w:val="0"/>
          <w:bCs w:val="0"/>
        </w:rPr>
        <w:fldChar w:fldCharType="begin"/>
      </w:r>
      <w:r>
        <w:rPr>
          <w:b w:val="0"/>
          <w:bCs w:val="0"/>
        </w:rPr>
        <w:instrText xml:space="preserve"> PAGEREF _Toc1480 \h </w:instrText>
      </w:r>
      <w:r>
        <w:rPr>
          <w:b w:val="0"/>
          <w:bCs w:val="0"/>
        </w:rPr>
        <w:fldChar w:fldCharType="separate"/>
      </w:r>
      <w:r>
        <w:rPr>
          <w:b w:val="0"/>
          <w:bCs w:val="0"/>
        </w:rPr>
        <w:t>36</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_Toc16800 </w:instrText>
      </w:r>
      <w:r>
        <w:rPr>
          <w:rFonts w:hint="eastAsia" w:ascii="宋体" w:hAnsi="宋体" w:eastAsia="宋体" w:cs="宋体"/>
          <w:b w:val="0"/>
          <w:bCs w:val="0"/>
          <w:szCs w:val="21"/>
        </w:rPr>
        <w:fldChar w:fldCharType="separate"/>
      </w:r>
      <w:r>
        <w:rPr>
          <w:rFonts w:hint="eastAsia" w:ascii="宋体" w:hAnsi="宋体" w:cs="宋体"/>
          <w:b w:val="0"/>
          <w:bCs w:val="0"/>
        </w:rPr>
        <w:t>二、评标组织</w:t>
      </w:r>
      <w:r>
        <w:rPr>
          <w:b w:val="0"/>
          <w:bCs w:val="0"/>
        </w:rPr>
        <w:tab/>
      </w:r>
      <w:r>
        <w:rPr>
          <w:b w:val="0"/>
          <w:bCs w:val="0"/>
        </w:rPr>
        <w:fldChar w:fldCharType="begin"/>
      </w:r>
      <w:r>
        <w:rPr>
          <w:b w:val="0"/>
          <w:bCs w:val="0"/>
        </w:rPr>
        <w:instrText xml:space="preserve"> PAGEREF _Toc16800 \h </w:instrText>
      </w:r>
      <w:r>
        <w:rPr>
          <w:b w:val="0"/>
          <w:bCs w:val="0"/>
        </w:rPr>
        <w:fldChar w:fldCharType="separate"/>
      </w:r>
      <w:r>
        <w:rPr>
          <w:b w:val="0"/>
          <w:bCs w:val="0"/>
        </w:rPr>
        <w:t>36</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_Toc6576 </w:instrText>
      </w:r>
      <w:r>
        <w:rPr>
          <w:rFonts w:hint="eastAsia" w:ascii="宋体" w:hAnsi="宋体" w:eastAsia="宋体" w:cs="宋体"/>
          <w:b w:val="0"/>
          <w:bCs w:val="0"/>
          <w:szCs w:val="21"/>
        </w:rPr>
        <w:fldChar w:fldCharType="separate"/>
      </w:r>
      <w:r>
        <w:rPr>
          <w:rFonts w:hint="eastAsia" w:ascii="宋体" w:hAnsi="宋体" w:cs="宋体"/>
          <w:b w:val="0"/>
          <w:bCs w:val="0"/>
        </w:rPr>
        <w:t>三、评标纪律</w:t>
      </w:r>
      <w:r>
        <w:rPr>
          <w:b w:val="0"/>
          <w:bCs w:val="0"/>
        </w:rPr>
        <w:tab/>
      </w:r>
      <w:r>
        <w:rPr>
          <w:b w:val="0"/>
          <w:bCs w:val="0"/>
        </w:rPr>
        <w:fldChar w:fldCharType="begin"/>
      </w:r>
      <w:r>
        <w:rPr>
          <w:b w:val="0"/>
          <w:bCs w:val="0"/>
        </w:rPr>
        <w:instrText xml:space="preserve"> PAGEREF _Toc6576 \h </w:instrText>
      </w:r>
      <w:r>
        <w:rPr>
          <w:b w:val="0"/>
          <w:bCs w:val="0"/>
        </w:rPr>
        <w:fldChar w:fldCharType="separate"/>
      </w:r>
      <w:r>
        <w:rPr>
          <w:b w:val="0"/>
          <w:bCs w:val="0"/>
        </w:rPr>
        <w:t>36</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_Toc14123 </w:instrText>
      </w:r>
      <w:r>
        <w:rPr>
          <w:rFonts w:hint="eastAsia" w:ascii="宋体" w:hAnsi="宋体" w:eastAsia="宋体" w:cs="宋体"/>
          <w:b w:val="0"/>
          <w:bCs w:val="0"/>
          <w:szCs w:val="21"/>
        </w:rPr>
        <w:fldChar w:fldCharType="separate"/>
      </w:r>
      <w:r>
        <w:rPr>
          <w:rFonts w:hint="eastAsia" w:ascii="宋体" w:hAnsi="宋体" w:cs="宋体"/>
          <w:b w:val="0"/>
          <w:bCs w:val="0"/>
        </w:rPr>
        <w:t>四、评标程序</w:t>
      </w:r>
      <w:r>
        <w:rPr>
          <w:b w:val="0"/>
          <w:bCs w:val="0"/>
        </w:rPr>
        <w:tab/>
      </w:r>
      <w:r>
        <w:rPr>
          <w:b w:val="0"/>
          <w:bCs w:val="0"/>
        </w:rPr>
        <w:fldChar w:fldCharType="begin"/>
      </w:r>
      <w:r>
        <w:rPr>
          <w:b w:val="0"/>
          <w:bCs w:val="0"/>
        </w:rPr>
        <w:instrText xml:space="preserve"> PAGEREF _Toc14123 \h </w:instrText>
      </w:r>
      <w:r>
        <w:rPr>
          <w:b w:val="0"/>
          <w:bCs w:val="0"/>
        </w:rPr>
        <w:fldChar w:fldCharType="separate"/>
      </w:r>
      <w:r>
        <w:rPr>
          <w:b w:val="0"/>
          <w:bCs w:val="0"/>
        </w:rPr>
        <w:t>37</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_Toc21612 </w:instrText>
      </w:r>
      <w:r>
        <w:rPr>
          <w:rFonts w:hint="eastAsia" w:ascii="宋体" w:hAnsi="宋体" w:eastAsia="宋体" w:cs="宋体"/>
          <w:b w:val="0"/>
          <w:bCs w:val="0"/>
          <w:szCs w:val="21"/>
        </w:rPr>
        <w:fldChar w:fldCharType="separate"/>
      </w:r>
      <w:r>
        <w:rPr>
          <w:rFonts w:hint="eastAsia" w:ascii="宋体" w:hAnsi="宋体" w:cs="宋体"/>
          <w:b w:val="0"/>
          <w:bCs w:val="0"/>
        </w:rPr>
        <w:t>五、评标细则及标准</w:t>
      </w:r>
      <w:r>
        <w:rPr>
          <w:b w:val="0"/>
          <w:bCs w:val="0"/>
        </w:rPr>
        <w:tab/>
      </w:r>
      <w:r>
        <w:rPr>
          <w:b w:val="0"/>
          <w:bCs w:val="0"/>
        </w:rPr>
        <w:fldChar w:fldCharType="begin"/>
      </w:r>
      <w:r>
        <w:rPr>
          <w:b w:val="0"/>
          <w:bCs w:val="0"/>
        </w:rPr>
        <w:instrText xml:space="preserve"> PAGEREF _Toc21612 \h </w:instrText>
      </w:r>
      <w:r>
        <w:rPr>
          <w:b w:val="0"/>
          <w:bCs w:val="0"/>
        </w:rPr>
        <w:fldChar w:fldCharType="separate"/>
      </w:r>
      <w:r>
        <w:rPr>
          <w:b w:val="0"/>
          <w:bCs w:val="0"/>
        </w:rPr>
        <w:t>38</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34"/>
        <w:tabs>
          <w:tab w:val="right" w:leader="hyphen" w:pos="8559"/>
          <w:tab w:val="clear" w:pos="360"/>
          <w:tab w:val="clear" w:pos="8280"/>
        </w:tabs>
        <w:rPr>
          <w:b/>
          <w:bCs/>
        </w:rPr>
      </w:pPr>
      <w:r>
        <w:rPr>
          <w:rFonts w:hint="eastAsia" w:ascii="宋体" w:hAnsi="宋体" w:eastAsia="宋体" w:cs="宋体"/>
          <w:b/>
          <w:bCs/>
          <w:color w:val="000000" w:themeColor="text1"/>
          <w:szCs w:val="21"/>
          <w14:textFill>
            <w14:solidFill>
              <w14:schemeClr w14:val="tx1"/>
            </w14:solidFill>
          </w14:textFill>
        </w:rPr>
        <w:fldChar w:fldCharType="begin"/>
      </w:r>
      <w:r>
        <w:rPr>
          <w:rFonts w:hint="eastAsia" w:ascii="宋体" w:hAnsi="宋体" w:eastAsia="宋体" w:cs="宋体"/>
          <w:b/>
          <w:bCs/>
          <w:szCs w:val="21"/>
        </w:rPr>
        <w:instrText xml:space="preserve"> HYPERLINK \l _Toc10113 </w:instrText>
      </w:r>
      <w:r>
        <w:rPr>
          <w:rFonts w:hint="eastAsia" w:ascii="宋体" w:hAnsi="宋体" w:eastAsia="宋体" w:cs="宋体"/>
          <w:b/>
          <w:bCs/>
          <w:szCs w:val="21"/>
        </w:rPr>
        <w:fldChar w:fldCharType="separate"/>
      </w:r>
      <w:r>
        <w:rPr>
          <w:rFonts w:hint="eastAsia"/>
          <w:b/>
          <w:bCs/>
        </w:rPr>
        <w:t>第六章  投标文件格式</w:t>
      </w:r>
      <w:r>
        <w:rPr>
          <w:b/>
          <w:bCs/>
        </w:rPr>
        <w:tab/>
      </w:r>
      <w:r>
        <w:rPr>
          <w:b/>
          <w:bCs/>
        </w:rPr>
        <w:fldChar w:fldCharType="begin"/>
      </w:r>
      <w:r>
        <w:rPr>
          <w:b/>
          <w:bCs/>
        </w:rPr>
        <w:instrText xml:space="preserve"> PAGEREF _Toc10113 \h </w:instrText>
      </w:r>
      <w:r>
        <w:rPr>
          <w:b/>
          <w:bCs/>
        </w:rPr>
        <w:fldChar w:fldCharType="separate"/>
      </w:r>
      <w:r>
        <w:rPr>
          <w:b/>
          <w:bCs/>
        </w:rPr>
        <w:t>43</w:t>
      </w:r>
      <w:r>
        <w:rPr>
          <w:b/>
          <w:bCs/>
        </w:rPr>
        <w:fldChar w:fldCharType="end"/>
      </w:r>
      <w:r>
        <w:rPr>
          <w:rFonts w:hint="eastAsia" w:ascii="宋体" w:hAnsi="宋体" w:eastAsia="宋体" w:cs="宋体"/>
          <w:b/>
          <w:bCs/>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_Toc31546 </w:instrText>
      </w:r>
      <w:r>
        <w:rPr>
          <w:rFonts w:hint="eastAsia" w:ascii="宋体" w:hAnsi="宋体" w:eastAsia="宋体" w:cs="宋体"/>
          <w:b w:val="0"/>
          <w:bCs w:val="0"/>
          <w:szCs w:val="21"/>
        </w:rPr>
        <w:fldChar w:fldCharType="separate"/>
      </w:r>
      <w:r>
        <w:rPr>
          <w:rFonts w:hint="eastAsia" w:ascii="宋体" w:hAnsi="宋体" w:cs="宋体"/>
          <w:b w:val="0"/>
          <w:bCs w:val="0"/>
        </w:rPr>
        <w:t>一、 投标文件封面</w:t>
      </w:r>
      <w:r>
        <w:rPr>
          <w:b w:val="0"/>
          <w:bCs w:val="0"/>
        </w:rPr>
        <w:tab/>
      </w:r>
      <w:r>
        <w:rPr>
          <w:b w:val="0"/>
          <w:bCs w:val="0"/>
        </w:rPr>
        <w:fldChar w:fldCharType="begin"/>
      </w:r>
      <w:r>
        <w:rPr>
          <w:b w:val="0"/>
          <w:bCs w:val="0"/>
        </w:rPr>
        <w:instrText xml:space="preserve"> PAGEREF _Toc31546 \h </w:instrText>
      </w:r>
      <w:r>
        <w:rPr>
          <w:b w:val="0"/>
          <w:bCs w:val="0"/>
        </w:rPr>
        <w:fldChar w:fldCharType="separate"/>
      </w:r>
      <w:r>
        <w:rPr>
          <w:b w:val="0"/>
          <w:bCs w:val="0"/>
        </w:rPr>
        <w:t>44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_Toc7010 </w:instrText>
      </w:r>
      <w:r>
        <w:rPr>
          <w:rFonts w:hint="eastAsia" w:ascii="宋体" w:hAnsi="宋体" w:eastAsia="宋体" w:cs="宋体"/>
          <w:b w:val="0"/>
          <w:bCs w:val="0"/>
          <w:szCs w:val="21"/>
        </w:rPr>
        <w:fldChar w:fldCharType="separate"/>
      </w:r>
      <w:r>
        <w:rPr>
          <w:rFonts w:hint="eastAsia" w:ascii="宋体" w:hAnsi="宋体" w:cs="宋体"/>
          <w:b w:val="0"/>
          <w:bCs w:val="0"/>
        </w:rPr>
        <w:t>二、 报价文件</w:t>
      </w:r>
      <w:r>
        <w:rPr>
          <w:b w:val="0"/>
          <w:bCs w:val="0"/>
        </w:rPr>
        <w:tab/>
      </w:r>
      <w:r>
        <w:rPr>
          <w:b w:val="0"/>
          <w:bCs w:val="0"/>
        </w:rPr>
        <w:fldChar w:fldCharType="begin"/>
      </w:r>
      <w:r>
        <w:rPr>
          <w:b w:val="0"/>
          <w:bCs w:val="0"/>
        </w:rPr>
        <w:instrText xml:space="preserve"> PAGEREF _Toc7010 \h </w:instrText>
      </w:r>
      <w:r>
        <w:rPr>
          <w:b w:val="0"/>
          <w:bCs w:val="0"/>
        </w:rPr>
        <w:fldChar w:fldCharType="separate"/>
      </w:r>
      <w:r>
        <w:rPr>
          <w:b w:val="0"/>
          <w:bCs w:val="0"/>
        </w:rPr>
        <w:t>46</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_Toc25964 </w:instrText>
      </w:r>
      <w:r>
        <w:rPr>
          <w:rFonts w:hint="eastAsia" w:ascii="宋体" w:hAnsi="宋体" w:eastAsia="宋体" w:cs="宋体"/>
          <w:b w:val="0"/>
          <w:bCs w:val="0"/>
          <w:szCs w:val="21"/>
        </w:rPr>
        <w:fldChar w:fldCharType="separate"/>
      </w:r>
      <w:r>
        <w:rPr>
          <w:rFonts w:hint="eastAsia" w:ascii="宋体" w:hAnsi="宋体" w:cs="宋体"/>
          <w:b w:val="0"/>
          <w:bCs w:val="0"/>
        </w:rPr>
        <w:t>三、 商务文件</w:t>
      </w:r>
      <w:r>
        <w:rPr>
          <w:b w:val="0"/>
          <w:bCs w:val="0"/>
        </w:rPr>
        <w:tab/>
      </w:r>
      <w:r>
        <w:rPr>
          <w:b w:val="0"/>
          <w:bCs w:val="0"/>
        </w:rPr>
        <w:fldChar w:fldCharType="begin"/>
      </w:r>
      <w:r>
        <w:rPr>
          <w:b w:val="0"/>
          <w:bCs w:val="0"/>
        </w:rPr>
        <w:instrText xml:space="preserve"> PAGEREF _Toc25964 \h </w:instrText>
      </w:r>
      <w:r>
        <w:rPr>
          <w:b w:val="0"/>
          <w:bCs w:val="0"/>
        </w:rPr>
        <w:fldChar w:fldCharType="separate"/>
      </w:r>
      <w:r>
        <w:rPr>
          <w:b w:val="0"/>
          <w:bCs w:val="0"/>
        </w:rPr>
        <w:t>50</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_Toc29435 </w:instrText>
      </w:r>
      <w:r>
        <w:rPr>
          <w:rFonts w:hint="eastAsia" w:ascii="宋体" w:hAnsi="宋体" w:eastAsia="宋体" w:cs="宋体"/>
          <w:b w:val="0"/>
          <w:bCs w:val="0"/>
          <w:szCs w:val="21"/>
        </w:rPr>
        <w:fldChar w:fldCharType="separate"/>
      </w:r>
      <w:r>
        <w:rPr>
          <w:rFonts w:hint="eastAsia" w:ascii="宋体" w:hAnsi="宋体" w:cs="宋体"/>
          <w:b w:val="0"/>
          <w:bCs w:val="0"/>
          <w:lang w:val="en-US" w:eastAsia="zh-CN"/>
        </w:rPr>
        <w:t>四、技术文件</w:t>
      </w:r>
      <w:r>
        <w:rPr>
          <w:b w:val="0"/>
          <w:bCs w:val="0"/>
        </w:rPr>
        <w:tab/>
      </w:r>
      <w:r>
        <w:rPr>
          <w:b w:val="0"/>
          <w:bCs w:val="0"/>
        </w:rPr>
        <w:fldChar w:fldCharType="begin"/>
      </w:r>
      <w:r>
        <w:rPr>
          <w:b w:val="0"/>
          <w:bCs w:val="0"/>
        </w:rPr>
        <w:instrText xml:space="preserve"> PAGEREF _Toc29435 \h </w:instrText>
      </w:r>
      <w:r>
        <w:rPr>
          <w:b w:val="0"/>
          <w:bCs w:val="0"/>
        </w:rPr>
        <w:fldChar w:fldCharType="separate"/>
      </w:r>
      <w:r>
        <w:rPr>
          <w:b w:val="0"/>
          <w:bCs w:val="0"/>
        </w:rPr>
        <w:t>68</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42"/>
        <w:tabs>
          <w:tab w:val="right" w:leader="hyphen" w:pos="8559"/>
          <w:tab w:val="clear" w:pos="360"/>
          <w:tab w:val="clear" w:pos="8460"/>
          <w:tab w:val="clear" w:pos="9540"/>
        </w:tabs>
        <w:rPr>
          <w:b w:val="0"/>
          <w:bCs w:val="0"/>
        </w:rPr>
      </w:pPr>
      <w:r>
        <w:rPr>
          <w:rFonts w:hint="eastAsia" w:ascii="宋体" w:hAnsi="宋体" w:eastAsia="宋体" w:cs="宋体"/>
          <w:b w:val="0"/>
          <w:bCs w:val="0"/>
          <w:color w:val="000000" w:themeColor="text1"/>
          <w:szCs w:val="21"/>
          <w14:textFill>
            <w14:solidFill>
              <w14:schemeClr w14:val="tx1"/>
            </w14:solidFill>
          </w14:textFill>
        </w:rPr>
        <w:fldChar w:fldCharType="begin"/>
      </w:r>
      <w:r>
        <w:rPr>
          <w:rFonts w:hint="eastAsia" w:ascii="宋体" w:hAnsi="宋体" w:eastAsia="宋体" w:cs="宋体"/>
          <w:b w:val="0"/>
          <w:bCs w:val="0"/>
          <w:szCs w:val="21"/>
        </w:rPr>
        <w:instrText xml:space="preserve"> HYPERLINK \l _Toc1463 </w:instrText>
      </w:r>
      <w:r>
        <w:rPr>
          <w:rFonts w:hint="eastAsia" w:ascii="宋体" w:hAnsi="宋体" w:eastAsia="宋体" w:cs="宋体"/>
          <w:b w:val="0"/>
          <w:bCs w:val="0"/>
          <w:szCs w:val="21"/>
        </w:rPr>
        <w:fldChar w:fldCharType="separate"/>
      </w:r>
      <w:r>
        <w:rPr>
          <w:rFonts w:hint="eastAsia" w:ascii="宋体" w:hAnsi="宋体" w:cs="宋体"/>
          <w:b w:val="0"/>
          <w:bCs w:val="0"/>
          <w:lang w:val="en-US" w:eastAsia="zh-CN"/>
        </w:rPr>
        <w:t>五、</w:t>
      </w:r>
      <w:r>
        <w:rPr>
          <w:rFonts w:hint="eastAsia" w:ascii="宋体" w:hAnsi="宋体" w:cs="宋体"/>
          <w:b w:val="0"/>
          <w:bCs w:val="0"/>
        </w:rPr>
        <w:t>其他材料</w:t>
      </w:r>
      <w:r>
        <w:rPr>
          <w:b w:val="0"/>
          <w:bCs w:val="0"/>
        </w:rPr>
        <w:tab/>
      </w:r>
      <w:r>
        <w:rPr>
          <w:b w:val="0"/>
          <w:bCs w:val="0"/>
        </w:rPr>
        <w:fldChar w:fldCharType="begin"/>
      </w:r>
      <w:r>
        <w:rPr>
          <w:b w:val="0"/>
          <w:bCs w:val="0"/>
        </w:rPr>
        <w:instrText xml:space="preserve"> PAGEREF _Toc1463 \h </w:instrText>
      </w:r>
      <w:r>
        <w:rPr>
          <w:b w:val="0"/>
          <w:bCs w:val="0"/>
        </w:rPr>
        <w:fldChar w:fldCharType="separate"/>
      </w:r>
      <w:r>
        <w:rPr>
          <w:b w:val="0"/>
          <w:bCs w:val="0"/>
        </w:rPr>
        <w:t>74</w:t>
      </w:r>
      <w:r>
        <w:rPr>
          <w:b w:val="0"/>
          <w:bCs w:val="0"/>
        </w:rPr>
        <w:fldChar w:fldCharType="end"/>
      </w:r>
      <w:r>
        <w:rPr>
          <w:rFonts w:hint="eastAsia" w:ascii="宋体" w:hAnsi="宋体" w:eastAsia="宋体" w:cs="宋体"/>
          <w:b w:val="0"/>
          <w:bCs w:val="0"/>
          <w:color w:val="000000" w:themeColor="text1"/>
          <w:szCs w:val="21"/>
          <w14:textFill>
            <w14:solidFill>
              <w14:schemeClr w14:val="tx1"/>
            </w14:solidFill>
          </w14:textFill>
        </w:rPr>
        <w:fldChar w:fldCharType="end"/>
      </w:r>
    </w:p>
    <w:p>
      <w:pPr>
        <w:tabs>
          <w:tab w:val="left" w:leader="middleDot" w:pos="8190"/>
          <w:tab w:val="right" w:leader="dot" w:pos="8400"/>
          <w:tab w:val="right" w:leader="dot" w:pos="8460"/>
        </w:tabs>
        <w:adjustRightInd w:val="0"/>
        <w:snapToGrid w:val="0"/>
        <w:ind w:right="-81"/>
        <w:jc w:val="both"/>
        <w:rPr>
          <w:rFonts w:hint="eastAsia" w:ascii="宋体" w:hAnsi="宋体" w:eastAsia="宋体" w:cs="宋体"/>
          <w:b w:val="0"/>
          <w:bCs w:val="0"/>
          <w:color w:val="000000" w:themeColor="text1"/>
          <w:sz w:val="21"/>
          <w:szCs w:val="21"/>
          <w14:textFill>
            <w14:solidFill>
              <w14:schemeClr w14:val="tx1"/>
            </w14:solidFill>
          </w14:textFill>
        </w:rPr>
        <w:sectPr>
          <w:footerReference r:id="rId6" w:type="default"/>
          <w:pgSz w:w="11906" w:h="16838"/>
          <w:pgMar w:top="1588" w:right="1646"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r>
        <w:rPr>
          <w:rFonts w:hint="eastAsia" w:ascii="宋体" w:hAnsi="宋体" w:eastAsia="宋体" w:cs="宋体"/>
          <w:b w:val="0"/>
          <w:bCs w:val="0"/>
          <w:color w:val="000000" w:themeColor="text1"/>
          <w:szCs w:val="21"/>
          <w14:textFill>
            <w14:solidFill>
              <w14:schemeClr w14:val="tx1"/>
            </w14:solidFill>
          </w14:textFill>
        </w:rPr>
        <w:fldChar w:fldCharType="end"/>
      </w:r>
    </w:p>
    <w:p>
      <w:pPr>
        <w:pStyle w:val="5"/>
        <w:bidi w:val="0"/>
        <w:jc w:val="center"/>
        <w:rPr>
          <w:rFonts w:hint="eastAsia" w:ascii="黑体" w:hAnsi="黑体" w:cs="黑体"/>
        </w:rPr>
      </w:pPr>
      <w:bookmarkStart w:id="0" w:name="_Toc32262"/>
      <w:bookmarkStart w:id="1" w:name="_Toc17716"/>
      <w:bookmarkStart w:id="2" w:name="_Toc107822481"/>
      <w:bookmarkStart w:id="3" w:name="_Toc13926"/>
      <w:bookmarkStart w:id="4" w:name="_Toc3517"/>
      <w:bookmarkStart w:id="5" w:name="_Toc31909"/>
      <w:bookmarkStart w:id="6" w:name="_Toc9493"/>
      <w:bookmarkStart w:id="7" w:name="_Toc18643"/>
      <w:bookmarkStart w:id="8" w:name="_Toc31164"/>
      <w:bookmarkStart w:id="9" w:name="_Toc27414"/>
      <w:bookmarkStart w:id="10" w:name="_Toc8144"/>
      <w:bookmarkStart w:id="11" w:name="_Toc5189"/>
      <w:bookmarkStart w:id="12" w:name="_Toc32667"/>
      <w:bookmarkStart w:id="13" w:name="_Toc226969274"/>
      <w:bookmarkStart w:id="14" w:name="_Toc227057881"/>
      <w:r>
        <w:rPr>
          <w:rFonts w:hint="eastAsia" w:ascii="黑体" w:hAnsi="黑体" w:cs="黑体"/>
        </w:rPr>
        <w:t xml:space="preserve">第一章  </w:t>
      </w:r>
      <w:bookmarkEnd w:id="0"/>
      <w:bookmarkEnd w:id="1"/>
      <w:bookmarkEnd w:id="2"/>
      <w:bookmarkEnd w:id="3"/>
      <w:r>
        <w:rPr>
          <w:rFonts w:hint="eastAsia" w:ascii="黑体" w:hAnsi="黑体" w:cs="黑体"/>
          <w:lang w:val="en-US" w:eastAsia="zh-CN"/>
        </w:rPr>
        <w:t>招标公告</w:t>
      </w:r>
      <w:bookmarkEnd w:id="4"/>
      <w:bookmarkEnd w:id="5"/>
      <w:bookmarkEnd w:id="6"/>
      <w:bookmarkEnd w:id="7"/>
      <w:bookmarkEnd w:id="8"/>
      <w:bookmarkEnd w:id="9"/>
      <w:bookmarkEnd w:id="10"/>
      <w:bookmarkEnd w:id="11"/>
      <w:bookmarkEnd w:id="12"/>
    </w:p>
    <w:bookmarkEnd w:id="13"/>
    <w:bookmarkEnd w:id="14"/>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bookmarkStart w:id="15" w:name="_Toc251221438"/>
      <w:bookmarkStart w:id="16" w:name="_Toc185012671"/>
      <w:bookmarkStart w:id="17" w:name="_Toc251189093"/>
      <w:r>
        <w:rPr>
          <w:rFonts w:hint="eastAsia" w:ascii="宋体" w:hAnsi="宋体" w:eastAsia="宋体" w:cs="宋体"/>
        </w:rPr>
        <w:t>根据《中华人民共和国招标投标法》等有关规定，就</w:t>
      </w:r>
      <w:r>
        <w:rPr>
          <w:rFonts w:hint="eastAsia" w:ascii="宋体" w:hAnsi="宋体" w:eastAsia="宋体" w:cs="宋体"/>
          <w:lang w:eastAsia="zh-CN"/>
        </w:rPr>
        <w:t>亿利达疗休养服务采购项目招标文件</w:t>
      </w:r>
      <w:r>
        <w:rPr>
          <w:rFonts w:hint="eastAsia" w:ascii="宋体" w:hAnsi="宋体" w:eastAsia="宋体" w:cs="宋体"/>
        </w:rPr>
        <w:t>进行</w:t>
      </w:r>
      <w:r>
        <w:rPr>
          <w:rFonts w:hint="eastAsia" w:ascii="宋体" w:hAnsi="宋体" w:eastAsia="宋体" w:cs="宋体"/>
          <w:lang w:val="en-US" w:eastAsia="zh-CN"/>
        </w:rPr>
        <w:t>公开</w:t>
      </w:r>
      <w:r>
        <w:rPr>
          <w:rFonts w:hint="eastAsia" w:ascii="宋体" w:hAnsi="宋体" w:eastAsia="宋体" w:cs="宋体"/>
        </w:rPr>
        <w:t>招标，欢迎贵单位前来投标。</w:t>
      </w:r>
    </w:p>
    <w:p>
      <w:pPr>
        <w:pStyle w:val="6"/>
        <w:pageBreakBefore w:val="0"/>
        <w:widowControl w:val="0"/>
        <w:numPr>
          <w:ilvl w:val="0"/>
          <w:numId w:val="4"/>
        </w:numPr>
        <w:kinsoku/>
        <w:wordWrap/>
        <w:overflowPunct/>
        <w:topLinePunct w:val="0"/>
        <w:autoSpaceDE/>
        <w:autoSpaceDN/>
        <w:bidi w:val="0"/>
        <w:adjustRightInd/>
        <w:snapToGrid/>
        <w:spacing w:before="0" w:after="0" w:line="360" w:lineRule="auto"/>
        <w:ind w:firstLine="643" w:firstLineChars="200"/>
        <w:textAlignment w:val="auto"/>
        <w:rPr>
          <w:rFonts w:hint="eastAsia" w:ascii="宋体" w:hAnsi="宋体" w:cs="宋体"/>
        </w:rPr>
      </w:pPr>
      <w:bookmarkStart w:id="18" w:name="_Toc4276"/>
      <w:bookmarkStart w:id="19" w:name="_Toc32036"/>
      <w:bookmarkStart w:id="20" w:name="_Toc7052"/>
      <w:bookmarkStart w:id="21" w:name="_Toc18215"/>
      <w:bookmarkStart w:id="22" w:name="_Toc9148"/>
      <w:bookmarkStart w:id="23" w:name="_Toc21256"/>
      <w:bookmarkStart w:id="24" w:name="_Toc28329"/>
      <w:bookmarkStart w:id="25" w:name="_Toc14891"/>
      <w:bookmarkStart w:id="26" w:name="_Toc790"/>
      <w:bookmarkStart w:id="27" w:name="_Toc23138"/>
      <w:bookmarkStart w:id="28" w:name="_Toc22304"/>
      <w:bookmarkStart w:id="29" w:name="_Toc9200"/>
      <w:r>
        <w:rPr>
          <w:rFonts w:hint="eastAsia" w:ascii="宋体" w:hAnsi="宋体" w:cs="宋体"/>
        </w:rPr>
        <w:t>招标项目编号</w:t>
      </w:r>
      <w:bookmarkEnd w:id="18"/>
      <w:bookmarkEnd w:id="19"/>
      <w:bookmarkEnd w:id="20"/>
      <w:bookmarkEnd w:id="21"/>
      <w:bookmarkEnd w:id="22"/>
      <w:bookmarkEnd w:id="23"/>
      <w:bookmarkEnd w:id="24"/>
      <w:bookmarkEnd w:id="25"/>
      <w:bookmarkEnd w:id="26"/>
      <w:bookmarkEnd w:id="27"/>
      <w:bookmarkEnd w:id="28"/>
      <w:bookmarkEnd w:id="29"/>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招标项目编号：YLD-ZB-20240403</w:t>
      </w:r>
    </w:p>
    <w:p>
      <w:pPr>
        <w:pStyle w:val="6"/>
        <w:pageBreakBefore w:val="0"/>
        <w:widowControl w:val="0"/>
        <w:numPr>
          <w:ilvl w:val="0"/>
          <w:numId w:val="4"/>
        </w:numPr>
        <w:kinsoku/>
        <w:wordWrap/>
        <w:overflowPunct/>
        <w:topLinePunct w:val="0"/>
        <w:autoSpaceDE/>
        <w:autoSpaceDN/>
        <w:bidi w:val="0"/>
        <w:adjustRightInd/>
        <w:snapToGrid/>
        <w:spacing w:before="0" w:after="0" w:line="360" w:lineRule="auto"/>
        <w:ind w:left="0" w:leftChars="0" w:firstLine="643" w:firstLineChars="200"/>
        <w:textAlignment w:val="auto"/>
        <w:rPr>
          <w:rFonts w:hint="eastAsia" w:ascii="宋体" w:hAnsi="宋体" w:cs="宋体"/>
        </w:rPr>
      </w:pPr>
      <w:bookmarkStart w:id="30" w:name="_Toc31225"/>
      <w:bookmarkStart w:id="31" w:name="_Toc731"/>
      <w:bookmarkStart w:id="32" w:name="_Toc11593"/>
      <w:bookmarkStart w:id="33" w:name="_Toc4327"/>
      <w:bookmarkStart w:id="34" w:name="_Toc15902"/>
      <w:bookmarkStart w:id="35" w:name="_Toc20533"/>
      <w:bookmarkStart w:id="36" w:name="_Toc27903"/>
      <w:bookmarkStart w:id="37" w:name="_Toc22021"/>
      <w:bookmarkStart w:id="38" w:name="_Toc27233"/>
      <w:bookmarkStart w:id="39" w:name="_Toc31081"/>
      <w:bookmarkStart w:id="40" w:name="_Toc29682"/>
      <w:bookmarkStart w:id="41" w:name="_Toc25196"/>
      <w:r>
        <w:rPr>
          <w:rFonts w:hint="eastAsia" w:ascii="宋体" w:hAnsi="宋体" w:cs="宋体"/>
        </w:rPr>
        <w:t>项目名称</w:t>
      </w:r>
      <w:bookmarkEnd w:id="30"/>
      <w:bookmarkEnd w:id="31"/>
      <w:bookmarkEnd w:id="32"/>
      <w:bookmarkEnd w:id="33"/>
      <w:bookmarkEnd w:id="34"/>
      <w:bookmarkEnd w:id="35"/>
      <w:bookmarkEnd w:id="36"/>
      <w:bookmarkEnd w:id="37"/>
      <w:bookmarkEnd w:id="38"/>
      <w:bookmarkEnd w:id="39"/>
      <w:bookmarkEnd w:id="40"/>
      <w:bookmarkEnd w:id="41"/>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项目名称：亿利达疗休养服务采购项目招标文件</w:t>
      </w:r>
    </w:p>
    <w:p>
      <w:pPr>
        <w:pStyle w:val="6"/>
        <w:pageBreakBefore w:val="0"/>
        <w:widowControl w:val="0"/>
        <w:numPr>
          <w:ilvl w:val="0"/>
          <w:numId w:val="4"/>
        </w:numPr>
        <w:kinsoku/>
        <w:wordWrap/>
        <w:overflowPunct/>
        <w:topLinePunct w:val="0"/>
        <w:autoSpaceDE/>
        <w:autoSpaceDN/>
        <w:bidi w:val="0"/>
        <w:adjustRightInd/>
        <w:snapToGrid/>
        <w:spacing w:before="0" w:after="0" w:line="360" w:lineRule="auto"/>
        <w:ind w:left="0" w:leftChars="0" w:firstLine="643" w:firstLineChars="200"/>
        <w:textAlignment w:val="auto"/>
        <w:rPr>
          <w:rFonts w:hint="eastAsia" w:ascii="宋体" w:hAnsi="宋体" w:cs="宋体"/>
        </w:rPr>
      </w:pPr>
      <w:bookmarkStart w:id="42" w:name="_Toc10578"/>
      <w:bookmarkStart w:id="43" w:name="_Toc11564"/>
      <w:bookmarkStart w:id="44" w:name="_Toc23291"/>
      <w:bookmarkStart w:id="45" w:name="_Toc5215"/>
      <w:bookmarkStart w:id="46" w:name="_Toc32364"/>
      <w:bookmarkStart w:id="47" w:name="_Toc28716"/>
      <w:bookmarkStart w:id="48" w:name="_Toc8482"/>
      <w:bookmarkStart w:id="49" w:name="_Toc13956"/>
      <w:bookmarkStart w:id="50" w:name="_Toc30514"/>
      <w:bookmarkStart w:id="51" w:name="_Toc20878"/>
      <w:bookmarkStart w:id="52" w:name="_Toc32422"/>
      <w:bookmarkStart w:id="53" w:name="_Toc23041"/>
      <w:r>
        <w:rPr>
          <w:rFonts w:hint="eastAsia" w:ascii="宋体" w:hAnsi="宋体" w:cs="宋体"/>
        </w:rPr>
        <w:t>招标方式</w:t>
      </w:r>
      <w:bookmarkEnd w:id="42"/>
      <w:bookmarkEnd w:id="43"/>
      <w:bookmarkEnd w:id="44"/>
      <w:bookmarkEnd w:id="45"/>
      <w:bookmarkEnd w:id="46"/>
      <w:bookmarkEnd w:id="47"/>
      <w:bookmarkEnd w:id="48"/>
      <w:bookmarkEnd w:id="49"/>
      <w:bookmarkEnd w:id="50"/>
      <w:bookmarkEnd w:id="51"/>
      <w:bookmarkEnd w:id="52"/>
      <w:bookmarkEnd w:id="53"/>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lang w:val="en-US" w:eastAsia="zh-CN"/>
        </w:rPr>
        <w:t>招标方式：公开</w:t>
      </w:r>
      <w:r>
        <w:rPr>
          <w:rFonts w:hint="eastAsia" w:ascii="宋体" w:hAnsi="宋体" w:eastAsia="宋体" w:cs="宋体"/>
        </w:rPr>
        <w:t>招标</w:t>
      </w:r>
    </w:p>
    <w:p>
      <w:pPr>
        <w:pStyle w:val="6"/>
        <w:pageBreakBefore w:val="0"/>
        <w:widowControl w:val="0"/>
        <w:numPr>
          <w:ilvl w:val="0"/>
          <w:numId w:val="4"/>
        </w:numPr>
        <w:kinsoku/>
        <w:wordWrap/>
        <w:overflowPunct/>
        <w:topLinePunct w:val="0"/>
        <w:autoSpaceDE/>
        <w:autoSpaceDN/>
        <w:bidi w:val="0"/>
        <w:adjustRightInd/>
        <w:snapToGrid/>
        <w:spacing w:before="0" w:after="0" w:line="360" w:lineRule="auto"/>
        <w:ind w:firstLine="643" w:firstLineChars="200"/>
        <w:textAlignment w:val="auto"/>
        <w:rPr>
          <w:rFonts w:hint="eastAsia" w:ascii="宋体" w:hAnsi="宋体" w:cs="宋体"/>
          <w:lang w:val="en-US" w:eastAsia="zh-CN"/>
        </w:rPr>
      </w:pPr>
      <w:bookmarkStart w:id="54" w:name="_Toc4471"/>
      <w:bookmarkStart w:id="55" w:name="_Toc2569"/>
      <w:bookmarkStart w:id="56" w:name="_Toc22306"/>
      <w:bookmarkStart w:id="57" w:name="_Toc10005"/>
      <w:bookmarkStart w:id="58" w:name="_Toc26388"/>
      <w:bookmarkStart w:id="59" w:name="_Toc23396"/>
      <w:bookmarkStart w:id="60" w:name="_Toc7414"/>
      <w:bookmarkStart w:id="61" w:name="_Toc27563"/>
      <w:bookmarkStart w:id="62" w:name="_Toc11035"/>
      <w:bookmarkStart w:id="63" w:name="_Toc28257"/>
      <w:bookmarkStart w:id="64" w:name="_Toc29107"/>
      <w:bookmarkStart w:id="65" w:name="_Toc18514"/>
      <w:r>
        <w:rPr>
          <w:rFonts w:hint="eastAsia" w:ascii="宋体" w:hAnsi="宋体" w:cs="宋体"/>
        </w:rPr>
        <w:t>招标</w:t>
      </w:r>
      <w:bookmarkEnd w:id="54"/>
      <w:bookmarkEnd w:id="55"/>
      <w:bookmarkEnd w:id="56"/>
      <w:bookmarkEnd w:id="57"/>
      <w:bookmarkEnd w:id="58"/>
      <w:bookmarkEnd w:id="59"/>
      <w:bookmarkEnd w:id="60"/>
      <w:bookmarkEnd w:id="61"/>
      <w:bookmarkEnd w:id="62"/>
      <w:r>
        <w:rPr>
          <w:rFonts w:hint="eastAsia" w:ascii="宋体" w:hAnsi="宋体" w:cs="宋体"/>
          <w:lang w:val="en-US" w:eastAsia="zh-CN"/>
        </w:rPr>
        <w:t>具体服务路线</w:t>
      </w:r>
      <w:bookmarkEnd w:id="63"/>
      <w:bookmarkEnd w:id="64"/>
      <w:bookmarkEnd w:id="65"/>
    </w:p>
    <w:p>
      <w:pPr>
        <w:numPr>
          <w:ilvl w:val="-1"/>
          <w:numId w:val="0"/>
        </w:numPr>
        <w:spacing w:line="360" w:lineRule="auto"/>
        <w:ind w:firstLine="420" w:firstLineChars="200"/>
        <w:rPr>
          <w:rFonts w:hint="eastAsia" w:ascii="宋体" w:hAnsi="宋体" w:eastAsia="宋体" w:cs="宋体"/>
          <w:lang w:val="en-US" w:eastAsia="zh-CN"/>
        </w:rPr>
      </w:pPr>
      <w:r>
        <w:rPr>
          <w:rFonts w:hint="eastAsia" w:ascii="宋体" w:hAnsi="宋体" w:eastAsia="宋体" w:cs="宋体"/>
          <w:lang w:val="en-US" w:eastAsia="zh-CN"/>
        </w:rPr>
        <w:t>本次确定参与招标线路共40条，其中5天档及以上10条、3天档10条、2天档10条、1天档10条。</w:t>
      </w:r>
    </w:p>
    <w:tbl>
      <w:tblPr>
        <w:tblStyle w:val="48"/>
        <w:tblW w:w="91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67"/>
        <w:gridCol w:w="5628"/>
        <w:gridCol w:w="23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1"/>
                <w:numId w:val="0"/>
              </w:numPr>
              <w:spacing w:line="360" w:lineRule="auto"/>
              <w:ind w:firstLine="0" w:firstLineChars="0"/>
              <w:jc w:val="center"/>
              <w:rPr>
                <w:rFonts w:hint="default" w:ascii="宋体" w:hAnsi="宋体" w:eastAsia="宋体" w:cs="宋体"/>
                <w:b/>
                <w:bCs/>
                <w:lang w:val="en-US" w:eastAsia="zh-CN"/>
              </w:rPr>
            </w:pPr>
            <w:r>
              <w:rPr>
                <w:rFonts w:hint="default" w:ascii="宋体" w:hAnsi="宋体" w:eastAsia="宋体" w:cs="宋体"/>
                <w:b/>
                <w:bCs/>
                <w:lang w:val="en-US" w:eastAsia="zh-CN"/>
              </w:rPr>
              <w:t>序号</w:t>
            </w:r>
          </w:p>
        </w:tc>
        <w:tc>
          <w:tcPr>
            <w:tcW w:w="5628"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1"/>
                <w:numId w:val="0"/>
              </w:numPr>
              <w:spacing w:line="360" w:lineRule="auto"/>
              <w:ind w:firstLine="0" w:firstLineChars="0"/>
              <w:jc w:val="center"/>
              <w:rPr>
                <w:rFonts w:hint="default" w:ascii="宋体" w:hAnsi="宋体" w:eastAsia="宋体" w:cs="宋体"/>
                <w:b/>
                <w:bCs/>
                <w:lang w:val="en-US" w:eastAsia="zh-CN"/>
              </w:rPr>
            </w:pPr>
            <w:r>
              <w:rPr>
                <w:rFonts w:hint="default" w:ascii="宋体" w:hAnsi="宋体" w:eastAsia="宋体" w:cs="宋体"/>
                <w:b/>
                <w:bCs/>
                <w:lang w:val="en-US" w:eastAsia="zh-CN"/>
              </w:rPr>
              <w:t>5日游及以上线路</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1"/>
                <w:numId w:val="0"/>
              </w:numPr>
              <w:spacing w:line="360" w:lineRule="auto"/>
              <w:ind w:firstLine="0" w:firstLineChars="0"/>
              <w:jc w:val="center"/>
              <w:rPr>
                <w:rFonts w:hint="default" w:ascii="宋体" w:hAnsi="宋体" w:eastAsia="宋体" w:cs="宋体"/>
                <w:b/>
                <w:bCs/>
                <w:lang w:val="en-US" w:eastAsia="zh-CN"/>
              </w:rPr>
            </w:pPr>
            <w:r>
              <w:rPr>
                <w:rFonts w:hint="default" w:ascii="宋体" w:hAnsi="宋体" w:eastAsia="宋体" w:cs="宋体"/>
                <w:b/>
                <w:bCs/>
                <w:lang w:val="en-US" w:eastAsia="zh-CN"/>
              </w:rPr>
              <w:t>天数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吉林通化、长白山双飞</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5-6日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成都、康定、稻城</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5-7日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拉萨、雅鲁藏布大峡谷、那曲纳木错、林芝</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7-9日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4</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大美新疆</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7-9日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5</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青海茶卡卓尔山贵德</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7-9日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6</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凝巴风渝韵、聚都市繁华</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5-6日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7</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成都、阆中、四姑娘山</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5-6日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8</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南京苏州无锡5日游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5日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9</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厦门漳州泉州5日游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5日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10</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潮汕5日游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5日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91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1"/>
                <w:numId w:val="0"/>
              </w:numPr>
              <w:spacing w:line="360" w:lineRule="auto"/>
              <w:ind w:firstLine="0" w:firstLineChars="0"/>
              <w:jc w:val="center"/>
              <w:rPr>
                <w:rFonts w:hint="default" w:ascii="宋体" w:hAnsi="宋体" w:eastAsia="宋体" w:cs="宋体"/>
                <w:b/>
                <w:bCs/>
                <w:lang w:val="en-US" w:eastAsia="zh-CN"/>
              </w:rPr>
            </w:pPr>
            <w:r>
              <w:rPr>
                <w:rFonts w:hint="default" w:ascii="宋体" w:hAnsi="宋体" w:eastAsia="宋体" w:cs="宋体"/>
                <w:b/>
                <w:bCs/>
                <w:lang w:val="en-US" w:eastAsia="zh-CN"/>
              </w:rPr>
              <w:t>序号</w:t>
            </w:r>
          </w:p>
        </w:tc>
        <w:tc>
          <w:tcPr>
            <w:tcW w:w="5628"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1"/>
                <w:numId w:val="0"/>
              </w:numPr>
              <w:spacing w:line="360" w:lineRule="auto"/>
              <w:ind w:firstLine="0" w:firstLineChars="0"/>
              <w:jc w:val="center"/>
              <w:rPr>
                <w:rFonts w:hint="default" w:ascii="宋体" w:hAnsi="宋体" w:eastAsia="宋体" w:cs="宋体"/>
                <w:b/>
                <w:bCs/>
                <w:lang w:val="en-US" w:eastAsia="zh-CN"/>
              </w:rPr>
            </w:pPr>
            <w:r>
              <w:rPr>
                <w:rFonts w:hint="default" w:ascii="宋体" w:hAnsi="宋体" w:eastAsia="宋体" w:cs="宋体"/>
                <w:b/>
                <w:bCs/>
                <w:lang w:val="en-US" w:eastAsia="zh-CN"/>
              </w:rPr>
              <w:t>3日游线路</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1"/>
                <w:numId w:val="0"/>
              </w:numPr>
              <w:spacing w:line="360" w:lineRule="auto"/>
              <w:ind w:firstLine="0" w:firstLineChars="0"/>
              <w:jc w:val="center"/>
              <w:rPr>
                <w:rFonts w:hint="default" w:ascii="宋体" w:hAnsi="宋体" w:eastAsia="宋体" w:cs="宋体"/>
                <w:b/>
                <w:bCs/>
                <w:lang w:val="en-US" w:eastAsia="zh-CN"/>
              </w:rPr>
            </w:pPr>
            <w:r>
              <w:rPr>
                <w:rFonts w:hint="default" w:ascii="宋体" w:hAnsi="宋体" w:eastAsia="宋体" w:cs="宋体"/>
                <w:b/>
                <w:bCs/>
                <w:lang w:val="en-US" w:eastAsia="zh-CN"/>
              </w:rPr>
              <w:t>天数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240" w:lineRule="auto"/>
              <w:ind w:firstLine="0" w:firstLineChars="0"/>
              <w:jc w:val="center"/>
              <w:textAlignment w:val="center"/>
              <w:rPr>
                <w:rFonts w:hint="default" w:ascii="宋体" w:hAnsi="宋体" w:eastAsia="宋体" w:cs="宋体"/>
                <w:lang w:val="en-US" w:eastAsia="zh-CN"/>
              </w:rPr>
            </w:pPr>
            <w:r>
              <w:rPr>
                <w:rFonts w:hint="eastAsia" w:ascii="宋体" w:hAnsi="宋体" w:eastAsia="宋体" w:cs="宋体"/>
                <w:i w:val="0"/>
                <w:iCs w:val="0"/>
                <w:color w:val="000000"/>
                <w:kern w:val="0"/>
                <w:sz w:val="21"/>
                <w:szCs w:val="21"/>
                <w:u w:val="none"/>
                <w:lang w:val="en-US" w:eastAsia="zh-CN" w:bidi="ar"/>
              </w:rPr>
              <w:t>上海迪士尼3日游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240" w:lineRule="auto"/>
              <w:ind w:firstLine="0" w:firstLineChars="0"/>
              <w:jc w:val="center"/>
              <w:textAlignment w:val="center"/>
              <w:rPr>
                <w:rFonts w:hint="default" w:ascii="宋体" w:hAnsi="宋体" w:eastAsia="宋体" w:cs="宋体"/>
                <w:lang w:val="en-US" w:eastAsia="zh-CN"/>
              </w:rPr>
            </w:pPr>
            <w:r>
              <w:rPr>
                <w:rFonts w:hint="eastAsia" w:ascii="宋体" w:hAnsi="宋体" w:eastAsia="宋体" w:cs="宋体"/>
                <w:i w:val="0"/>
                <w:iCs w:val="0"/>
                <w:color w:val="000000"/>
                <w:kern w:val="0"/>
                <w:sz w:val="21"/>
                <w:szCs w:val="21"/>
                <w:u w:val="none"/>
                <w:lang w:val="en-US" w:eastAsia="zh-CN" w:bidi="ar"/>
              </w:rPr>
              <w:t>福州平潭3日游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240" w:lineRule="auto"/>
              <w:ind w:firstLine="0" w:firstLineChars="0"/>
              <w:jc w:val="center"/>
              <w:textAlignment w:val="center"/>
              <w:rPr>
                <w:rFonts w:hint="default" w:ascii="宋体" w:hAnsi="宋体" w:eastAsia="宋体" w:cs="宋体"/>
                <w:lang w:val="en-US" w:eastAsia="zh-CN"/>
              </w:rPr>
            </w:pPr>
            <w:r>
              <w:rPr>
                <w:rFonts w:hint="eastAsia" w:ascii="宋体" w:hAnsi="宋体" w:eastAsia="宋体" w:cs="宋体"/>
                <w:i w:val="0"/>
                <w:iCs w:val="0"/>
                <w:color w:val="000000"/>
                <w:kern w:val="0"/>
                <w:sz w:val="21"/>
                <w:szCs w:val="21"/>
                <w:u w:val="none"/>
                <w:lang w:val="en-US" w:eastAsia="zh-CN" w:bidi="ar"/>
              </w:rPr>
              <w:t>厦门3日游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4</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240" w:lineRule="auto"/>
              <w:ind w:firstLine="0" w:firstLineChars="0"/>
              <w:jc w:val="center"/>
              <w:textAlignment w:val="center"/>
              <w:rPr>
                <w:rFonts w:hint="default" w:ascii="宋体" w:hAnsi="宋体" w:eastAsia="宋体" w:cs="宋体"/>
                <w:lang w:val="en-US" w:eastAsia="zh-CN"/>
              </w:rPr>
            </w:pPr>
            <w:r>
              <w:rPr>
                <w:rFonts w:hint="eastAsia" w:ascii="宋体" w:hAnsi="宋体" w:eastAsia="宋体" w:cs="宋体"/>
                <w:i w:val="0"/>
                <w:iCs w:val="0"/>
                <w:color w:val="000000"/>
                <w:kern w:val="0"/>
                <w:sz w:val="21"/>
                <w:szCs w:val="21"/>
                <w:u w:val="none"/>
                <w:lang w:val="en-US" w:eastAsia="zh-CN" w:bidi="ar"/>
              </w:rPr>
              <w:t>千岛湖3日游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5</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240" w:lineRule="auto"/>
              <w:ind w:firstLine="0" w:firstLineChars="0"/>
              <w:jc w:val="center"/>
              <w:textAlignment w:val="center"/>
              <w:rPr>
                <w:rFonts w:hint="default" w:ascii="宋体" w:hAnsi="宋体" w:eastAsia="宋体" w:cs="宋体"/>
                <w:lang w:val="en-US" w:eastAsia="zh-CN"/>
              </w:rPr>
            </w:pPr>
            <w:r>
              <w:rPr>
                <w:rFonts w:hint="eastAsia" w:ascii="宋体" w:hAnsi="宋体" w:eastAsia="宋体" w:cs="宋体"/>
                <w:i w:val="0"/>
                <w:iCs w:val="0"/>
                <w:color w:val="000000"/>
                <w:kern w:val="0"/>
                <w:sz w:val="21"/>
                <w:szCs w:val="21"/>
                <w:u w:val="none"/>
                <w:lang w:val="en-US" w:eastAsia="zh-CN" w:bidi="ar"/>
              </w:rPr>
              <w:t>黄山徽州3日游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6</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240" w:lineRule="auto"/>
              <w:ind w:firstLine="0" w:firstLineChars="0"/>
              <w:jc w:val="center"/>
              <w:textAlignment w:val="center"/>
              <w:rPr>
                <w:rFonts w:hint="default" w:ascii="宋体" w:hAnsi="宋体" w:eastAsia="宋体" w:cs="宋体"/>
                <w:lang w:val="en-US" w:eastAsia="zh-CN"/>
              </w:rPr>
            </w:pPr>
            <w:r>
              <w:rPr>
                <w:rFonts w:hint="eastAsia" w:ascii="宋体" w:hAnsi="宋体" w:eastAsia="宋体" w:cs="宋体"/>
                <w:i w:val="0"/>
                <w:iCs w:val="0"/>
                <w:color w:val="000000"/>
                <w:kern w:val="0"/>
                <w:sz w:val="21"/>
                <w:szCs w:val="21"/>
                <w:u w:val="none"/>
                <w:lang w:val="en-US" w:eastAsia="zh-CN" w:bidi="ar"/>
              </w:rPr>
              <w:t>湖州龙之梦3日游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7</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240" w:lineRule="auto"/>
              <w:ind w:firstLine="0" w:firstLineChars="0"/>
              <w:jc w:val="center"/>
              <w:textAlignment w:val="center"/>
              <w:rPr>
                <w:rFonts w:hint="default" w:ascii="宋体" w:hAnsi="宋体" w:eastAsia="宋体" w:cs="宋体"/>
                <w:lang w:val="en-US" w:eastAsia="zh-CN"/>
              </w:rPr>
            </w:pPr>
            <w:r>
              <w:rPr>
                <w:rFonts w:hint="eastAsia" w:ascii="宋体" w:hAnsi="宋体" w:eastAsia="宋体" w:cs="宋体"/>
                <w:i w:val="0"/>
                <w:iCs w:val="0"/>
                <w:color w:val="000000"/>
                <w:kern w:val="0"/>
                <w:sz w:val="21"/>
                <w:szCs w:val="21"/>
                <w:u w:val="none"/>
                <w:lang w:val="en-US" w:eastAsia="zh-CN" w:bidi="ar"/>
              </w:rPr>
              <w:t>三清山景德镇3日游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8</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240" w:lineRule="auto"/>
              <w:ind w:firstLine="0" w:firstLineChars="0"/>
              <w:jc w:val="center"/>
              <w:textAlignment w:val="center"/>
              <w:rPr>
                <w:rFonts w:hint="default" w:ascii="宋体" w:hAnsi="宋体" w:eastAsia="宋体" w:cs="宋体"/>
                <w:lang w:val="en-US" w:eastAsia="zh-CN"/>
              </w:rPr>
            </w:pPr>
            <w:r>
              <w:rPr>
                <w:rFonts w:hint="eastAsia" w:ascii="宋体" w:hAnsi="宋体" w:eastAsia="宋体" w:cs="宋体"/>
                <w:i w:val="0"/>
                <w:iCs w:val="0"/>
                <w:color w:val="000000"/>
                <w:kern w:val="0"/>
                <w:sz w:val="21"/>
                <w:szCs w:val="21"/>
                <w:u w:val="none"/>
                <w:lang w:val="en-US" w:eastAsia="zh-CN" w:bidi="ar"/>
              </w:rPr>
              <w:t>南京无锡苏州3日游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9</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240" w:lineRule="auto"/>
              <w:ind w:firstLine="0" w:firstLineChars="0"/>
              <w:jc w:val="center"/>
              <w:textAlignment w:val="center"/>
              <w:rPr>
                <w:rFonts w:hint="default" w:ascii="宋体" w:hAnsi="宋体" w:eastAsia="宋体" w:cs="宋体"/>
                <w:lang w:val="en-US" w:eastAsia="zh-CN"/>
              </w:rPr>
            </w:pPr>
            <w:r>
              <w:rPr>
                <w:rFonts w:hint="eastAsia" w:ascii="宋体" w:hAnsi="宋体" w:eastAsia="宋体" w:cs="宋体"/>
                <w:i w:val="0"/>
                <w:iCs w:val="0"/>
                <w:color w:val="000000"/>
                <w:kern w:val="0"/>
                <w:sz w:val="21"/>
                <w:szCs w:val="21"/>
                <w:u w:val="none"/>
                <w:lang w:val="en-US" w:eastAsia="zh-CN" w:bidi="ar"/>
              </w:rPr>
              <w:t>嵊泗普陀3日游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10</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240" w:lineRule="auto"/>
              <w:ind w:firstLine="0" w:firstLineChars="0"/>
              <w:jc w:val="center"/>
              <w:textAlignment w:val="center"/>
              <w:rPr>
                <w:rFonts w:hint="default" w:ascii="宋体" w:hAnsi="宋体" w:eastAsia="宋体" w:cs="宋体"/>
                <w:lang w:val="en-US" w:eastAsia="zh-CN"/>
              </w:rPr>
            </w:pPr>
            <w:r>
              <w:rPr>
                <w:rFonts w:hint="eastAsia" w:ascii="宋体" w:hAnsi="宋体" w:eastAsia="宋体" w:cs="宋体"/>
                <w:i w:val="0"/>
                <w:iCs w:val="0"/>
                <w:color w:val="000000"/>
                <w:kern w:val="0"/>
                <w:sz w:val="21"/>
                <w:szCs w:val="21"/>
                <w:u w:val="none"/>
                <w:lang w:val="en-US" w:eastAsia="zh-CN" w:bidi="ar"/>
              </w:rPr>
              <w:t>嘉兴杭州3日游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91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1"/>
                <w:numId w:val="0"/>
              </w:numPr>
              <w:spacing w:line="360" w:lineRule="auto"/>
              <w:ind w:firstLine="0" w:firstLineChars="0"/>
              <w:jc w:val="center"/>
              <w:rPr>
                <w:rFonts w:hint="default" w:ascii="宋体" w:hAnsi="宋体" w:eastAsia="宋体" w:cs="宋体"/>
                <w:b/>
                <w:bCs/>
                <w:lang w:val="en-US" w:eastAsia="zh-CN"/>
              </w:rPr>
            </w:pPr>
            <w:r>
              <w:rPr>
                <w:rFonts w:hint="default" w:ascii="宋体" w:hAnsi="宋体" w:eastAsia="宋体" w:cs="宋体"/>
                <w:b/>
                <w:bCs/>
                <w:lang w:val="en-US" w:eastAsia="zh-CN"/>
              </w:rPr>
              <w:t>序号</w:t>
            </w:r>
          </w:p>
        </w:tc>
        <w:tc>
          <w:tcPr>
            <w:tcW w:w="5628"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1"/>
                <w:numId w:val="0"/>
              </w:numPr>
              <w:spacing w:line="360" w:lineRule="auto"/>
              <w:ind w:firstLine="0" w:firstLineChars="0"/>
              <w:jc w:val="center"/>
              <w:rPr>
                <w:rFonts w:hint="default" w:ascii="宋体" w:hAnsi="宋体" w:eastAsia="宋体" w:cs="宋体"/>
                <w:b/>
                <w:bCs/>
                <w:lang w:val="en-US" w:eastAsia="zh-CN"/>
              </w:rPr>
            </w:pPr>
            <w:r>
              <w:rPr>
                <w:rFonts w:hint="default" w:ascii="宋体" w:hAnsi="宋体" w:eastAsia="宋体" w:cs="宋体"/>
                <w:b/>
                <w:bCs/>
                <w:lang w:val="en-US" w:eastAsia="zh-CN"/>
              </w:rPr>
              <w:t>2日游线路</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1"/>
                <w:numId w:val="0"/>
              </w:numPr>
              <w:spacing w:line="360" w:lineRule="auto"/>
              <w:ind w:firstLine="0" w:firstLineChars="0"/>
              <w:jc w:val="center"/>
              <w:rPr>
                <w:rFonts w:hint="default" w:ascii="宋体" w:hAnsi="宋体" w:eastAsia="宋体" w:cs="宋体"/>
                <w:b/>
                <w:bCs/>
                <w:lang w:val="en-US" w:eastAsia="zh-CN"/>
              </w:rPr>
            </w:pPr>
            <w:r>
              <w:rPr>
                <w:rFonts w:hint="default" w:ascii="宋体" w:hAnsi="宋体" w:eastAsia="宋体" w:cs="宋体"/>
                <w:b/>
                <w:bCs/>
                <w:lang w:val="en-US" w:eastAsia="zh-CN"/>
              </w:rPr>
              <w:t>天数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安吉2日游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乌镇西塘2日游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象山石浦2日游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4</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横店影视城2日游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5</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青田、景宁2日游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6</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大陈岛2日游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7</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溧阳天目湖南山竹海2日游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8</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千岛湖2日游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9</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绍兴2日游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10</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丽水2日游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9158"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1"/>
                <w:numId w:val="0"/>
              </w:numPr>
              <w:spacing w:line="360" w:lineRule="auto"/>
              <w:ind w:firstLine="0" w:firstLineChars="0"/>
              <w:jc w:val="center"/>
              <w:rPr>
                <w:rFonts w:hint="default" w:ascii="宋体" w:hAnsi="宋体" w:eastAsia="宋体" w:cs="宋体"/>
                <w:b/>
                <w:bCs/>
                <w:lang w:val="en-US" w:eastAsia="zh-CN"/>
              </w:rPr>
            </w:pPr>
            <w:r>
              <w:rPr>
                <w:rFonts w:hint="default" w:ascii="宋体" w:hAnsi="宋体" w:eastAsia="宋体" w:cs="宋体"/>
                <w:b/>
                <w:bCs/>
                <w:lang w:val="en-US" w:eastAsia="zh-CN"/>
              </w:rPr>
              <w:t>序号</w:t>
            </w:r>
          </w:p>
        </w:tc>
        <w:tc>
          <w:tcPr>
            <w:tcW w:w="5628"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1"/>
                <w:numId w:val="0"/>
              </w:numPr>
              <w:spacing w:line="360" w:lineRule="auto"/>
              <w:ind w:firstLine="0" w:firstLineChars="0"/>
              <w:jc w:val="center"/>
              <w:rPr>
                <w:rFonts w:hint="default" w:ascii="宋体" w:hAnsi="宋体" w:eastAsia="宋体" w:cs="宋体"/>
                <w:b/>
                <w:bCs/>
                <w:lang w:val="en-US" w:eastAsia="zh-CN"/>
              </w:rPr>
            </w:pPr>
            <w:r>
              <w:rPr>
                <w:rFonts w:hint="default" w:ascii="宋体" w:hAnsi="宋体" w:eastAsia="宋体" w:cs="宋体"/>
                <w:b/>
                <w:bCs/>
                <w:lang w:val="en-US" w:eastAsia="zh-CN"/>
              </w:rPr>
              <w:t>1日游线路</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numPr>
                <w:ilvl w:val="-1"/>
                <w:numId w:val="0"/>
              </w:numPr>
              <w:spacing w:line="360" w:lineRule="auto"/>
              <w:ind w:firstLine="0" w:firstLineChars="0"/>
              <w:jc w:val="center"/>
              <w:rPr>
                <w:rFonts w:hint="default" w:ascii="宋体" w:hAnsi="宋体" w:eastAsia="宋体" w:cs="宋体"/>
                <w:b/>
                <w:bCs/>
                <w:lang w:val="en-US" w:eastAsia="zh-CN"/>
              </w:rPr>
            </w:pPr>
            <w:r>
              <w:rPr>
                <w:rFonts w:hint="default" w:ascii="宋体" w:hAnsi="宋体" w:eastAsia="宋体" w:cs="宋体"/>
                <w:b/>
                <w:bCs/>
                <w:lang w:val="en-US" w:eastAsia="zh-CN"/>
              </w:rPr>
              <w:t>天数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神仙居1日游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2</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蛇蟠岛、潘家小镇1日游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3</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台州方特1日游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4</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宋城1日游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5</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楠溪江1日游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6</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兰溪诸葛八卦村1日游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7</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鲁迅故里1日游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8</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缙云仙都1日游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9</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江南长城、东湖1日游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11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10</w:t>
            </w:r>
          </w:p>
        </w:tc>
        <w:tc>
          <w:tcPr>
            <w:tcW w:w="56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雁荡山1日游</w:t>
            </w:r>
          </w:p>
        </w:tc>
        <w:tc>
          <w:tcPr>
            <w:tcW w:w="23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numPr>
                <w:ilvl w:val="-1"/>
                <w:numId w:val="0"/>
              </w:numPr>
              <w:spacing w:line="360" w:lineRule="auto"/>
              <w:ind w:firstLine="0" w:firstLineChars="0"/>
              <w:jc w:val="center"/>
              <w:rPr>
                <w:rFonts w:hint="default" w:ascii="宋体" w:hAnsi="宋体" w:eastAsia="宋体" w:cs="宋体"/>
                <w:lang w:val="en-US" w:eastAsia="zh-CN"/>
              </w:rPr>
            </w:pPr>
            <w:r>
              <w:rPr>
                <w:rFonts w:hint="default" w:ascii="宋体" w:hAnsi="宋体" w:eastAsia="宋体" w:cs="宋体"/>
                <w:lang w:val="en-US" w:eastAsia="zh-CN"/>
              </w:rPr>
              <w:t>1日</w:t>
            </w:r>
          </w:p>
        </w:tc>
      </w:tr>
    </w:tbl>
    <w:p>
      <w:pPr>
        <w:numPr>
          <w:ilvl w:val="0"/>
          <w:numId w:val="0"/>
        </w:numPr>
        <w:spacing w:line="360" w:lineRule="auto"/>
        <w:ind w:firstLine="422" w:firstLineChars="200"/>
        <w:rPr>
          <w:rFonts w:hint="default"/>
          <w:lang w:val="en-US" w:eastAsia="zh-CN"/>
        </w:rPr>
      </w:pPr>
      <w:r>
        <w:rPr>
          <w:rFonts w:hint="default" w:ascii="宋体" w:hAnsi="宋体" w:eastAsia="宋体" w:cs="宋体"/>
          <w:b/>
          <w:bCs/>
          <w:lang w:val="en-US" w:eastAsia="zh-CN"/>
        </w:rPr>
        <w:t>注：上述路线均为预选，</w:t>
      </w:r>
      <w:r>
        <w:rPr>
          <w:rFonts w:hint="eastAsia" w:ascii="宋体" w:hAnsi="宋体" w:eastAsia="宋体" w:cs="宋体"/>
          <w:b/>
          <w:bCs/>
          <w:lang w:val="en-US" w:eastAsia="zh-CN"/>
        </w:rPr>
        <w:t>投标人</w:t>
      </w:r>
      <w:r>
        <w:rPr>
          <w:rFonts w:hint="default" w:ascii="宋体" w:hAnsi="宋体" w:eastAsia="宋体" w:cs="宋体"/>
          <w:b/>
          <w:bCs/>
          <w:lang w:val="en-US" w:eastAsia="zh-CN"/>
        </w:rPr>
        <w:t>需自行承担服务业务数量不确定的风险</w:t>
      </w:r>
      <w:r>
        <w:rPr>
          <w:rFonts w:hint="eastAsia" w:ascii="宋体" w:hAnsi="宋体" w:eastAsia="宋体" w:cs="宋体"/>
          <w:b/>
          <w:bCs/>
          <w:lang w:val="en-US" w:eastAsia="zh-CN"/>
        </w:rPr>
        <w:t>，</w:t>
      </w:r>
      <w:r>
        <w:rPr>
          <w:rFonts w:hint="default" w:ascii="宋体" w:hAnsi="宋体" w:eastAsia="宋体" w:cs="宋体"/>
          <w:b/>
          <w:bCs/>
          <w:lang w:val="en-US" w:eastAsia="zh-CN"/>
        </w:rPr>
        <w:t>规划路线时应做充分考虑。</w:t>
      </w:r>
      <w:r>
        <w:rPr>
          <w:rFonts w:hint="default"/>
          <w:lang w:val="en-US" w:eastAsia="zh-CN"/>
        </w:rPr>
        <w:t>合同履行期限：3年（2024年-2026年），详见招标文件</w:t>
      </w:r>
      <w:r>
        <w:rPr>
          <w:rFonts w:hint="eastAsia"/>
          <w:lang w:val="en-US" w:eastAsia="zh-CN"/>
        </w:rPr>
        <w:t>第四章</w:t>
      </w:r>
      <w:r>
        <w:rPr>
          <w:rFonts w:hint="default"/>
          <w:lang w:val="en-US" w:eastAsia="zh-CN"/>
        </w:rPr>
        <w:t>用户需求</w:t>
      </w:r>
      <w:r>
        <w:rPr>
          <w:rFonts w:hint="eastAsia"/>
          <w:lang w:val="en-US" w:eastAsia="zh-CN"/>
        </w:rPr>
        <w:t>。</w:t>
      </w:r>
    </w:p>
    <w:p>
      <w:pPr>
        <w:pStyle w:val="6"/>
        <w:pageBreakBefore w:val="0"/>
        <w:kinsoku/>
        <w:wordWrap/>
        <w:overflowPunct/>
        <w:topLinePunct w:val="0"/>
        <w:autoSpaceDE/>
        <w:autoSpaceDN/>
        <w:bidi w:val="0"/>
        <w:spacing w:before="0" w:after="0" w:line="360" w:lineRule="auto"/>
        <w:ind w:firstLine="643" w:firstLineChars="200"/>
        <w:textAlignment w:val="auto"/>
        <w:rPr>
          <w:rFonts w:hint="eastAsia" w:ascii="宋体" w:hAnsi="宋体" w:cs="宋体"/>
        </w:rPr>
      </w:pPr>
      <w:bookmarkStart w:id="66" w:name="_Toc2737"/>
      <w:bookmarkStart w:id="67" w:name="_Toc29541"/>
      <w:bookmarkStart w:id="68" w:name="_Toc4969"/>
      <w:bookmarkStart w:id="69" w:name="_Toc19532"/>
      <w:bookmarkStart w:id="70" w:name="_Toc30940"/>
      <w:bookmarkStart w:id="71" w:name="_Toc20287"/>
      <w:bookmarkStart w:id="72" w:name="_Toc25276"/>
      <w:bookmarkStart w:id="73" w:name="_Toc23825"/>
      <w:bookmarkStart w:id="74" w:name="_Toc14455"/>
      <w:bookmarkStart w:id="75" w:name="_Toc2845"/>
      <w:bookmarkStart w:id="76" w:name="_Toc29761"/>
      <w:bookmarkStart w:id="77" w:name="_Toc30538"/>
      <w:r>
        <w:rPr>
          <w:rFonts w:hint="eastAsia" w:ascii="宋体" w:hAnsi="宋体" w:cs="宋体"/>
        </w:rPr>
        <w:t>五、投标人资格要求</w:t>
      </w:r>
      <w:bookmarkEnd w:id="66"/>
      <w:bookmarkEnd w:id="67"/>
      <w:bookmarkEnd w:id="68"/>
      <w:bookmarkEnd w:id="69"/>
      <w:bookmarkEnd w:id="70"/>
      <w:bookmarkEnd w:id="71"/>
      <w:bookmarkEnd w:id="72"/>
      <w:bookmarkEnd w:id="73"/>
      <w:bookmarkEnd w:id="74"/>
      <w:bookmarkEnd w:id="75"/>
      <w:bookmarkEnd w:id="76"/>
      <w:bookmarkEnd w:id="77"/>
    </w:p>
    <w:p>
      <w:pPr>
        <w:keepNext w:val="0"/>
        <w:keepLines w:val="0"/>
        <w:pageBreakBefore w:val="0"/>
        <w:widowControl/>
        <w:numPr>
          <w:ilvl w:val="0"/>
          <w:numId w:val="5"/>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在中国境内注册的独立法人企业，具有独立承担民事责任的能力；具有良好的商业信誉和健全的财务会计制度；具有履行合同所必需的设备和专业技术能力；有依法缴纳税收和社会保障资金的良好记录；参加本次招标活动前三年内，在经营活动中没有重大违法记录。</w:t>
      </w:r>
    </w:p>
    <w:p>
      <w:pPr>
        <w:keepNext w:val="0"/>
        <w:keepLines w:val="0"/>
        <w:pageBreakBefore w:val="0"/>
        <w:widowControl/>
        <w:numPr>
          <w:ilvl w:val="0"/>
          <w:numId w:val="5"/>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投标人未被列入失信被执行人、重大税收违法案件当事人名单、政府采购严重违法失信行为记录名单(以“信用中国”网站 (www.creditchina.gov.cn)、“中国政府采购网” (www.ccgp.gov.cn)等查询结果为准)。</w:t>
      </w:r>
    </w:p>
    <w:p>
      <w:pPr>
        <w:pStyle w:val="6"/>
        <w:pageBreakBefore w:val="0"/>
        <w:kinsoku/>
        <w:wordWrap/>
        <w:overflowPunct/>
        <w:topLinePunct w:val="0"/>
        <w:autoSpaceDE/>
        <w:autoSpaceDN/>
        <w:bidi w:val="0"/>
        <w:spacing w:before="0" w:after="0" w:line="360" w:lineRule="auto"/>
        <w:ind w:firstLine="643" w:firstLineChars="200"/>
        <w:textAlignment w:val="auto"/>
        <w:rPr>
          <w:rFonts w:hint="eastAsia" w:ascii="宋体" w:hAnsi="宋体" w:cs="宋体"/>
          <w:highlight w:val="none"/>
        </w:rPr>
      </w:pPr>
      <w:bookmarkStart w:id="78" w:name="_Toc18325"/>
      <w:bookmarkStart w:id="79" w:name="_Toc1948"/>
      <w:bookmarkStart w:id="80" w:name="_Toc13083"/>
      <w:bookmarkStart w:id="81" w:name="_Toc535"/>
      <w:bookmarkStart w:id="82" w:name="_Toc15433"/>
      <w:bookmarkStart w:id="83" w:name="_Toc18061"/>
      <w:bookmarkStart w:id="84" w:name="_Toc25414"/>
      <w:bookmarkStart w:id="85" w:name="_Toc5696"/>
      <w:bookmarkStart w:id="86" w:name="_Toc5494"/>
      <w:bookmarkStart w:id="87" w:name="_Toc21847"/>
      <w:bookmarkStart w:id="88" w:name="_Toc15592"/>
      <w:bookmarkStart w:id="89" w:name="_Toc11052"/>
      <w:r>
        <w:rPr>
          <w:rFonts w:hint="eastAsia" w:ascii="宋体" w:hAnsi="宋体" w:cs="宋体"/>
          <w:highlight w:val="none"/>
        </w:rPr>
        <w:t>六、投标人报名时间及地点等</w:t>
      </w:r>
      <w:bookmarkEnd w:id="78"/>
      <w:bookmarkEnd w:id="79"/>
      <w:bookmarkEnd w:id="80"/>
      <w:bookmarkEnd w:id="81"/>
      <w:bookmarkEnd w:id="82"/>
      <w:bookmarkEnd w:id="83"/>
      <w:bookmarkEnd w:id="84"/>
      <w:bookmarkEnd w:id="85"/>
      <w:bookmarkEnd w:id="86"/>
      <w:bookmarkEnd w:id="87"/>
      <w:bookmarkEnd w:id="88"/>
      <w:bookmarkEnd w:id="89"/>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招标文件发售时间：</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2024 </w:t>
      </w:r>
      <w:r>
        <w:rPr>
          <w:rFonts w:hint="eastAsia" w:ascii="宋体" w:hAnsi="宋体" w:eastAsia="宋体" w:cs="宋体"/>
          <w:color w:val="000000" w:themeColor="text1"/>
          <w:kern w:val="0"/>
          <w:szCs w:val="21"/>
          <w:highlight w:val="none"/>
          <w14:textFill>
            <w14:solidFill>
              <w14:schemeClr w14:val="tx1"/>
            </w14:solidFill>
          </w14:textFill>
        </w:rPr>
        <w:t>年</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 4 </w:t>
      </w:r>
      <w:r>
        <w:rPr>
          <w:rFonts w:hint="eastAsia" w:ascii="宋体" w:hAnsi="宋体" w:eastAsia="宋体" w:cs="宋体"/>
          <w:color w:val="000000" w:themeColor="text1"/>
          <w:kern w:val="0"/>
          <w:szCs w:val="21"/>
          <w:highlight w:val="none"/>
          <w14:textFill>
            <w14:solidFill>
              <w14:schemeClr w14:val="tx1"/>
            </w14:solidFill>
          </w14:textFill>
        </w:rPr>
        <w:t>月</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 23  </w:t>
      </w:r>
      <w:r>
        <w:rPr>
          <w:rFonts w:hint="eastAsia" w:ascii="宋体" w:hAnsi="宋体" w:eastAsia="宋体" w:cs="宋体"/>
          <w:color w:val="000000" w:themeColor="text1"/>
          <w:kern w:val="0"/>
          <w:szCs w:val="21"/>
          <w:highlight w:val="none"/>
          <w14:textFill>
            <w14:solidFill>
              <w14:schemeClr w14:val="tx1"/>
            </w14:solidFill>
          </w14:textFill>
        </w:rPr>
        <w:t>日</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kern w:val="0"/>
          <w:szCs w:val="21"/>
          <w:highlight w:val="none"/>
          <w14:textFill>
            <w14:solidFill>
              <w14:schemeClr w14:val="tx1"/>
            </w14:solidFill>
          </w14:textFill>
        </w:rPr>
        <w:t>至</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 2024 </w:t>
      </w:r>
      <w:r>
        <w:rPr>
          <w:rFonts w:hint="eastAsia" w:ascii="宋体" w:hAnsi="宋体" w:eastAsia="宋体" w:cs="宋体"/>
          <w:color w:val="000000" w:themeColor="text1"/>
          <w:kern w:val="0"/>
          <w:szCs w:val="21"/>
          <w:highlight w:val="none"/>
          <w14:textFill>
            <w14:solidFill>
              <w14:schemeClr w14:val="tx1"/>
            </w14:solidFill>
          </w14:textFill>
        </w:rPr>
        <w:t>年</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 4 </w:t>
      </w:r>
      <w:r>
        <w:rPr>
          <w:rFonts w:hint="eastAsia" w:ascii="宋体" w:hAnsi="宋体" w:eastAsia="宋体" w:cs="宋体"/>
          <w:color w:val="000000" w:themeColor="text1"/>
          <w:kern w:val="0"/>
          <w:szCs w:val="21"/>
          <w:highlight w:val="none"/>
          <w14:textFill>
            <w14:solidFill>
              <w14:schemeClr w14:val="tx1"/>
            </w14:solidFill>
          </w14:textFill>
        </w:rPr>
        <w:t>月</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 28 </w:t>
      </w:r>
      <w:r>
        <w:rPr>
          <w:rFonts w:hint="eastAsia" w:ascii="宋体" w:hAnsi="宋体" w:eastAsia="宋体" w:cs="宋体"/>
          <w:color w:val="000000" w:themeColor="text1"/>
          <w:kern w:val="0"/>
          <w:szCs w:val="21"/>
          <w:highlight w:val="none"/>
          <w14:textFill>
            <w14:solidFill>
              <w14:schemeClr w14:val="tx1"/>
            </w14:solidFill>
          </w14:textFill>
        </w:rPr>
        <w:t>日（</w:t>
      </w:r>
      <w:r>
        <w:rPr>
          <w:rFonts w:hint="eastAsia" w:ascii="宋体" w:hAnsi="宋体" w:eastAsia="宋体" w:cs="宋体"/>
          <w:color w:val="000000" w:themeColor="text1"/>
          <w:kern w:val="0"/>
          <w:szCs w:val="21"/>
          <w14:textFill>
            <w14:solidFill>
              <w14:schemeClr w14:val="tx1"/>
            </w14:solidFill>
          </w14:textFill>
        </w:rPr>
        <w:t>双休日及法定节假日除外）</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上午：</w:t>
      </w:r>
      <w:r>
        <w:rPr>
          <w:rFonts w:hint="eastAsia" w:ascii="宋体" w:hAnsi="宋体" w:eastAsia="宋体" w:cs="宋体"/>
          <w:color w:val="000000" w:themeColor="text1"/>
          <w:kern w:val="0"/>
          <w:szCs w:val="21"/>
          <w:lang w:val="en-US" w:eastAsia="zh-CN"/>
          <w14:textFill>
            <w14:solidFill>
              <w14:schemeClr w14:val="tx1"/>
            </w14:solidFill>
          </w14:textFill>
        </w:rPr>
        <w:t>8</w:t>
      </w:r>
      <w:r>
        <w:rPr>
          <w:rFonts w:hint="eastAsia" w:ascii="宋体" w:hAnsi="宋体" w:eastAsia="宋体" w:cs="宋体"/>
          <w:color w:val="000000" w:themeColor="text1"/>
          <w:kern w:val="0"/>
          <w:szCs w:val="21"/>
          <w14:textFill>
            <w14:solidFill>
              <w14:schemeClr w14:val="tx1"/>
            </w14:solidFill>
          </w14:textFill>
        </w:rPr>
        <w:t>:00至11:</w:t>
      </w:r>
      <w:r>
        <w:rPr>
          <w:rFonts w:hint="eastAsia" w:ascii="宋体" w:hAnsi="宋体" w:eastAsia="宋体" w:cs="宋体"/>
          <w:color w:val="000000" w:themeColor="text1"/>
          <w:kern w:val="0"/>
          <w:szCs w:val="21"/>
          <w:lang w:val="en-US" w:eastAsia="zh-CN"/>
          <w14:textFill>
            <w14:solidFill>
              <w14:schemeClr w14:val="tx1"/>
            </w14:solidFill>
          </w14:textFill>
        </w:rPr>
        <w:t>3</w:t>
      </w:r>
      <w:r>
        <w:rPr>
          <w:rFonts w:hint="eastAsia" w:ascii="宋体" w:hAnsi="宋体" w:eastAsia="宋体" w:cs="宋体"/>
          <w:color w:val="000000" w:themeColor="text1"/>
          <w:kern w:val="0"/>
          <w:szCs w:val="21"/>
          <w14:textFill>
            <w14:solidFill>
              <w14:schemeClr w14:val="tx1"/>
            </w14:solidFill>
          </w14:textFill>
        </w:rPr>
        <w:t>0 下午：13:</w:t>
      </w:r>
      <w:r>
        <w:rPr>
          <w:rFonts w:hint="eastAsia" w:ascii="宋体" w:hAnsi="宋体" w:eastAsia="宋体" w:cs="宋体"/>
          <w:color w:val="000000" w:themeColor="text1"/>
          <w:kern w:val="0"/>
          <w:szCs w:val="21"/>
          <w:lang w:val="en-US" w:eastAsia="zh-CN"/>
          <w14:textFill>
            <w14:solidFill>
              <w14:schemeClr w14:val="tx1"/>
            </w14:solidFill>
          </w14:textFill>
        </w:rPr>
        <w:t>00</w:t>
      </w:r>
      <w:r>
        <w:rPr>
          <w:rFonts w:hint="eastAsia" w:ascii="宋体" w:hAnsi="宋体" w:eastAsia="宋体" w:cs="宋体"/>
          <w:color w:val="000000" w:themeColor="text1"/>
          <w:kern w:val="0"/>
          <w:szCs w:val="21"/>
          <w14:textFill>
            <w14:solidFill>
              <w14:schemeClr w14:val="tx1"/>
            </w14:solidFill>
          </w14:textFill>
        </w:rPr>
        <w:t>-1</w:t>
      </w:r>
      <w:r>
        <w:rPr>
          <w:rFonts w:hint="eastAsia" w:ascii="宋体" w:hAnsi="宋体" w:eastAsia="宋体" w:cs="宋体"/>
          <w:color w:val="000000" w:themeColor="text1"/>
          <w:kern w:val="0"/>
          <w:szCs w:val="21"/>
          <w:lang w:val="en-US" w:eastAsia="zh-CN"/>
          <w14:textFill>
            <w14:solidFill>
              <w14:schemeClr w14:val="tx1"/>
            </w14:solidFill>
          </w14:textFill>
        </w:rPr>
        <w:t>7</w:t>
      </w:r>
      <w:r>
        <w:rPr>
          <w:rFonts w:hint="eastAsia" w:ascii="宋体" w:hAnsi="宋体" w:eastAsia="宋体" w:cs="宋体"/>
          <w:color w:val="000000" w:themeColor="text1"/>
          <w:kern w:val="0"/>
          <w:szCs w:val="21"/>
          <w14:textFill>
            <w14:solidFill>
              <w14:schemeClr w14:val="tx1"/>
            </w14:solidFill>
          </w14:textFill>
        </w:rPr>
        <w:t>:</w:t>
      </w:r>
      <w:r>
        <w:rPr>
          <w:rFonts w:hint="eastAsia" w:ascii="宋体" w:hAnsi="宋体" w:eastAsia="宋体" w:cs="宋体"/>
          <w:color w:val="000000" w:themeColor="text1"/>
          <w:kern w:val="0"/>
          <w:szCs w:val="21"/>
          <w:lang w:val="en-US" w:eastAsia="zh-CN"/>
          <w14:textFill>
            <w14:solidFill>
              <w14:schemeClr w14:val="tx1"/>
            </w14:solidFill>
          </w14:textFill>
        </w:rPr>
        <w:t>0</w:t>
      </w:r>
      <w:r>
        <w:rPr>
          <w:rFonts w:hint="eastAsia" w:ascii="宋体" w:hAnsi="宋体" w:eastAsia="宋体" w:cs="宋体"/>
          <w:color w:val="000000" w:themeColor="text1"/>
          <w:kern w:val="0"/>
          <w:szCs w:val="21"/>
          <w14:textFill>
            <w14:solidFill>
              <w14:schemeClr w14:val="tx1"/>
            </w14:solidFill>
          </w14:textFill>
        </w:rPr>
        <w:t>0</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地点：</w:t>
      </w:r>
      <w:r>
        <w:rPr>
          <w:rFonts w:hint="eastAsia" w:ascii="宋体" w:hAnsi="宋体" w:eastAsia="宋体" w:cs="宋体"/>
          <w:color w:val="000000" w:themeColor="text1"/>
          <w:kern w:val="0"/>
          <w:szCs w:val="21"/>
          <w:lang w:val="en-US" w:eastAsia="zh-CN"/>
          <w14:textFill>
            <w14:solidFill>
              <w14:schemeClr w14:val="tx1"/>
            </w14:solidFill>
          </w14:textFill>
        </w:rPr>
        <w:t>浙江亿利达风机股份有限公司厂区内</w:t>
      </w:r>
      <w:bookmarkStart w:id="734" w:name="_GoBack"/>
      <w:bookmarkEnd w:id="734"/>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投标人报名方式：现场报名或网上报名</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获取标书时须提交的文件资料：</w:t>
      </w:r>
    </w:p>
    <w:p>
      <w:pPr>
        <w:keepNext w:val="0"/>
        <w:keepLines w:val="0"/>
        <w:pageBreakBefore w:val="0"/>
        <w:widowControl/>
        <w:kinsoku/>
        <w:wordWrap/>
        <w:overflowPunct/>
        <w:topLinePunct w:val="0"/>
        <w:autoSpaceDE/>
        <w:autoSpaceDN/>
        <w:bidi w:val="0"/>
        <w:snapToGrid w:val="0"/>
        <w:spacing w:line="360" w:lineRule="auto"/>
        <w:ind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eastAsia="zh-CN"/>
          <w14:textFill>
            <w14:solidFill>
              <w14:schemeClr w14:val="tx1"/>
            </w14:solidFill>
          </w14:textFill>
        </w:rPr>
        <w:t>（</w:t>
      </w:r>
      <w:r>
        <w:rPr>
          <w:rFonts w:hint="eastAsia" w:ascii="宋体" w:hAnsi="宋体" w:eastAsia="宋体" w:cs="宋体"/>
          <w:color w:val="000000" w:themeColor="text1"/>
          <w:kern w:val="0"/>
          <w:szCs w:val="21"/>
          <w:lang w:val="en-US" w:eastAsia="zh-CN"/>
          <w14:textFill>
            <w14:solidFill>
              <w14:schemeClr w14:val="tx1"/>
            </w14:solidFill>
          </w14:textFill>
        </w:rPr>
        <w:t>一</w:t>
      </w:r>
      <w:r>
        <w:rPr>
          <w:rFonts w:hint="eastAsia" w:ascii="宋体" w:hAnsi="宋体" w:eastAsia="宋体" w:cs="宋体"/>
          <w:color w:val="000000" w:themeColor="text1"/>
          <w:kern w:val="0"/>
          <w:szCs w:val="21"/>
          <w:lang w:eastAsia="zh-CN"/>
          <w14:textFill>
            <w14:solidFill>
              <w14:schemeClr w14:val="tx1"/>
            </w14:solidFill>
          </w14:textFill>
        </w:rPr>
        <w:t>）</w:t>
      </w:r>
      <w:r>
        <w:rPr>
          <w:rFonts w:hint="eastAsia" w:ascii="宋体" w:hAnsi="宋体" w:eastAsia="宋体" w:cs="宋体"/>
          <w:color w:val="000000" w:themeColor="text1"/>
          <w:kern w:val="0"/>
          <w:szCs w:val="21"/>
          <w14:textFill>
            <w14:solidFill>
              <w14:schemeClr w14:val="tx1"/>
            </w14:solidFill>
          </w14:textFill>
        </w:rPr>
        <w:t>现场报名需提交的文件资料:营业执照复印件及增值税开票信息(开具专用发票需要提供)、单位介绍信及其身份证复印件；</w:t>
      </w:r>
    </w:p>
    <w:p>
      <w:pPr>
        <w:keepNext w:val="0"/>
        <w:keepLines w:val="0"/>
        <w:pageBreakBefore w:val="0"/>
        <w:widowControl/>
        <w:kinsoku/>
        <w:wordWrap/>
        <w:overflowPunct/>
        <w:topLinePunct w:val="0"/>
        <w:autoSpaceDE/>
        <w:autoSpaceDN/>
        <w:bidi w:val="0"/>
        <w:snapToGrid w:val="0"/>
        <w:spacing w:line="360" w:lineRule="auto"/>
        <w:ind w:firstLine="420" w:firstLineChars="200"/>
        <w:jc w:val="both"/>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lang w:eastAsia="zh-CN"/>
          <w14:textFill>
            <w14:solidFill>
              <w14:schemeClr w14:val="tx1"/>
            </w14:solidFill>
          </w14:textFill>
        </w:rPr>
        <w:t>（</w:t>
      </w:r>
      <w:r>
        <w:rPr>
          <w:rFonts w:hint="eastAsia" w:ascii="宋体" w:hAnsi="宋体" w:eastAsia="宋体" w:cs="宋体"/>
          <w:color w:val="000000" w:themeColor="text1"/>
          <w:lang w:val="en-US" w:eastAsia="zh-CN"/>
          <w14:textFill>
            <w14:solidFill>
              <w14:schemeClr w14:val="tx1"/>
            </w14:solidFill>
          </w14:textFill>
        </w:rPr>
        <w:t>二</w:t>
      </w:r>
      <w:r>
        <w:rPr>
          <w:rFonts w:hint="eastAsia" w:ascii="宋体" w:hAnsi="宋体" w:eastAsia="宋体" w:cs="宋体"/>
          <w:color w:val="000000" w:themeColor="text1"/>
          <w14:textFill>
            <w14:solidFill>
              <w14:schemeClr w14:val="tx1"/>
            </w14:solidFill>
          </w14:textFill>
        </w:rPr>
        <w:t>）网上报名(推荐）</w:t>
      </w:r>
    </w:p>
    <w:p>
      <w:pPr>
        <w:keepNext w:val="0"/>
        <w:keepLines w:val="0"/>
        <w:pageBreakBefore w:val="0"/>
        <w:widowControl/>
        <w:numPr>
          <w:ilvl w:val="0"/>
          <w:numId w:val="6"/>
        </w:numPr>
        <w:kinsoku/>
        <w:wordWrap/>
        <w:overflowPunct/>
        <w:topLinePunct w:val="0"/>
        <w:autoSpaceDE/>
        <w:autoSpaceDN/>
        <w:bidi w:val="0"/>
        <w:snapToGrid w:val="0"/>
        <w:spacing w:line="360" w:lineRule="auto"/>
        <w:ind w:left="0"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 xml:space="preserve">本项目接受网上报名； </w:t>
      </w:r>
    </w:p>
    <w:p>
      <w:pPr>
        <w:keepNext w:val="0"/>
        <w:keepLines w:val="0"/>
        <w:pageBreakBefore w:val="0"/>
        <w:widowControl/>
        <w:numPr>
          <w:ilvl w:val="0"/>
          <w:numId w:val="6"/>
        </w:numPr>
        <w:kinsoku/>
        <w:wordWrap/>
        <w:overflowPunct/>
        <w:topLinePunct w:val="0"/>
        <w:autoSpaceDE/>
        <w:autoSpaceDN/>
        <w:bidi w:val="0"/>
        <w:snapToGrid w:val="0"/>
        <w:spacing w:line="360" w:lineRule="auto"/>
        <w:ind w:left="0"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网上报名需提交的文件资料:营业执照复印件及增值税开票信息、单位介绍信及其身份证复印件、联系人和联系方式；</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以上文件资料均需提供盖章扫描件；</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报名资料发送邮箱：</w:t>
      </w:r>
      <w:r>
        <w:rPr>
          <w:rFonts w:hint="eastAsia" w:ascii="宋体" w:hAnsi="宋体" w:eastAsia="宋体" w:cs="宋体"/>
          <w:color w:val="000000" w:themeColor="text1"/>
          <w:kern w:val="0"/>
          <w:szCs w:val="21"/>
          <w:lang w:val="en-US" w:eastAsia="zh-CN"/>
          <w14:textFill>
            <w14:solidFill>
              <w14:schemeClr w14:val="tx1"/>
            </w14:solidFill>
          </w14:textFill>
        </w:rPr>
        <w:t>chejieru</w:t>
      </w:r>
      <w:r>
        <w:rPr>
          <w:rFonts w:hint="eastAsia" w:ascii="宋体" w:hAnsi="宋体" w:eastAsia="宋体" w:cs="宋体"/>
          <w:color w:val="000000" w:themeColor="text1"/>
          <w:kern w:val="0"/>
          <w:szCs w:val="21"/>
          <w:highlight w:val="none"/>
          <w:lang w:val="en-US" w:eastAsia="zh-CN"/>
          <w14:textFill>
            <w14:solidFill>
              <w14:schemeClr w14:val="tx1"/>
            </w14:solidFill>
          </w14:textFill>
        </w:rPr>
        <w:t>@yilida.com</w:t>
      </w:r>
      <w:r>
        <w:rPr>
          <w:rFonts w:hint="eastAsia" w:ascii="宋体" w:hAnsi="宋体" w:eastAsia="宋体" w:cs="宋体"/>
          <w:color w:val="000000" w:themeColor="text1"/>
          <w:kern w:val="0"/>
          <w:szCs w:val="21"/>
          <w14:textFill>
            <w14:solidFill>
              <w14:schemeClr w14:val="tx1"/>
            </w14:solidFill>
          </w14:textFill>
        </w:rPr>
        <w:t>（仅为方便工作之用）。</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提示：招标</w:t>
      </w:r>
      <w:r>
        <w:rPr>
          <w:rFonts w:hint="eastAsia" w:ascii="宋体" w:hAnsi="宋体" w:eastAsia="宋体" w:cs="宋体"/>
          <w:color w:val="000000" w:themeColor="text1"/>
          <w:kern w:val="0"/>
          <w:szCs w:val="21"/>
          <w:lang w:val="en-US" w:eastAsia="zh-CN"/>
          <w14:textFill>
            <w14:solidFill>
              <w14:schemeClr w14:val="tx1"/>
            </w14:solidFill>
          </w14:textFill>
        </w:rPr>
        <w:t>单位</w:t>
      </w:r>
      <w:r>
        <w:rPr>
          <w:rFonts w:hint="eastAsia" w:ascii="宋体" w:hAnsi="宋体" w:eastAsia="宋体" w:cs="宋体"/>
          <w:color w:val="000000" w:themeColor="text1"/>
          <w:kern w:val="0"/>
          <w:szCs w:val="21"/>
          <w14:textFill>
            <w14:solidFill>
              <w14:schemeClr w14:val="tx1"/>
            </w14:solidFill>
          </w14:textFill>
        </w:rPr>
        <w:t>将拒绝接受非报名投标人的投标文件。</w:t>
      </w:r>
    </w:p>
    <w:p>
      <w:pPr>
        <w:pStyle w:val="6"/>
        <w:keepNext w:val="0"/>
        <w:keepLines w:val="0"/>
        <w:pageBreakBefore w:val="0"/>
        <w:widowControl/>
        <w:numPr>
          <w:ilvl w:val="0"/>
          <w:numId w:val="7"/>
        </w:numPr>
        <w:kinsoku/>
        <w:wordWrap/>
        <w:overflowPunct/>
        <w:topLinePunct w:val="0"/>
        <w:autoSpaceDE/>
        <w:autoSpaceDN/>
        <w:bidi w:val="0"/>
        <w:adjustRightInd/>
        <w:snapToGrid/>
        <w:spacing w:before="0" w:after="0" w:line="360" w:lineRule="auto"/>
        <w:ind w:leftChars="0" w:firstLine="640" w:firstLineChars="200"/>
        <w:jc w:val="both"/>
        <w:textAlignment w:val="auto"/>
        <w:rPr>
          <w:rStyle w:val="93"/>
          <w:rFonts w:hint="eastAsia" w:ascii="宋体" w:hAnsi="宋体" w:eastAsia="宋体" w:cs="宋体"/>
          <w:b w:val="0"/>
          <w:bCs w:val="0"/>
        </w:rPr>
      </w:pPr>
      <w:bookmarkStart w:id="90" w:name="_Toc30786"/>
      <w:bookmarkStart w:id="91" w:name="_Toc370"/>
      <w:bookmarkStart w:id="92" w:name="_Toc13828"/>
      <w:bookmarkStart w:id="93" w:name="_Toc13566"/>
      <w:bookmarkStart w:id="94" w:name="_Toc26581"/>
      <w:bookmarkStart w:id="95" w:name="_Toc23752"/>
      <w:bookmarkStart w:id="96" w:name="_Toc27417"/>
      <w:bookmarkStart w:id="97" w:name="_Toc444"/>
      <w:bookmarkStart w:id="98" w:name="_Toc10488"/>
      <w:bookmarkStart w:id="99" w:name="_Toc10616"/>
      <w:bookmarkStart w:id="100" w:name="_Toc15997"/>
      <w:bookmarkStart w:id="101" w:name="_Toc4456"/>
      <w:r>
        <w:rPr>
          <w:rStyle w:val="93"/>
          <w:rFonts w:hint="eastAsia" w:ascii="宋体" w:hAnsi="宋体" w:eastAsia="宋体" w:cs="宋体"/>
          <w:b w:val="0"/>
          <w:bCs w:val="0"/>
        </w:rPr>
        <w:t>投标截止时间</w:t>
      </w:r>
      <w:bookmarkEnd w:id="90"/>
      <w:bookmarkEnd w:id="91"/>
      <w:bookmarkEnd w:id="92"/>
      <w:bookmarkEnd w:id="93"/>
      <w:bookmarkEnd w:id="94"/>
      <w:bookmarkEnd w:id="95"/>
      <w:bookmarkEnd w:id="96"/>
      <w:bookmarkEnd w:id="97"/>
      <w:bookmarkEnd w:id="98"/>
    </w:p>
    <w:bookmarkEnd w:id="99"/>
    <w:bookmarkEnd w:id="100"/>
    <w:bookmarkEnd w:id="101"/>
    <w:p>
      <w:pPr>
        <w:keepNext w:val="0"/>
        <w:keepLines w:val="0"/>
        <w:pageBreakBefore w:val="0"/>
        <w:widowControl w:val="0"/>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投标截止时间：</w:t>
      </w:r>
      <w:r>
        <w:rPr>
          <w:rFonts w:hint="eastAsia" w:ascii="宋体" w:hAnsi="宋体" w:eastAsia="宋体" w:cs="宋体"/>
          <w:b w:val="0"/>
          <w:bCs w:val="0"/>
          <w:color w:val="000000" w:themeColor="text1"/>
          <w:kern w:val="0"/>
          <w:szCs w:val="21"/>
          <w:highlight w:val="none"/>
          <w14:textFill>
            <w14:solidFill>
              <w14:schemeClr w14:val="tx1"/>
            </w14:solidFill>
          </w14:textFill>
        </w:rPr>
        <w:t>20</w:t>
      </w: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 xml:space="preserve">24  </w:t>
      </w:r>
      <w:r>
        <w:rPr>
          <w:rFonts w:hint="eastAsia" w:ascii="宋体" w:hAnsi="宋体" w:eastAsia="宋体" w:cs="宋体"/>
          <w:b w:val="0"/>
          <w:bCs w:val="0"/>
          <w:color w:val="000000" w:themeColor="text1"/>
          <w:kern w:val="0"/>
          <w:szCs w:val="21"/>
          <w:highlight w:val="none"/>
          <w14:textFill>
            <w14:solidFill>
              <w14:schemeClr w14:val="tx1"/>
            </w14:solidFill>
          </w14:textFill>
        </w:rPr>
        <w:t>年</w:t>
      </w: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 xml:space="preserve"> 5 </w:t>
      </w:r>
      <w:r>
        <w:rPr>
          <w:rFonts w:hint="eastAsia" w:ascii="宋体" w:hAnsi="宋体" w:eastAsia="宋体" w:cs="宋体"/>
          <w:b w:val="0"/>
          <w:bCs w:val="0"/>
          <w:color w:val="000000" w:themeColor="text1"/>
          <w:kern w:val="0"/>
          <w:szCs w:val="21"/>
          <w:highlight w:val="none"/>
          <w14:textFill>
            <w14:solidFill>
              <w14:schemeClr w14:val="tx1"/>
            </w14:solidFill>
          </w14:textFill>
        </w:rPr>
        <w:t>月</w:t>
      </w: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 xml:space="preserve"> 6 </w:t>
      </w:r>
      <w:r>
        <w:rPr>
          <w:rFonts w:hint="eastAsia" w:ascii="宋体" w:hAnsi="宋体" w:eastAsia="宋体" w:cs="宋体"/>
          <w:b w:val="0"/>
          <w:bCs w:val="0"/>
          <w:color w:val="000000" w:themeColor="text1"/>
          <w:kern w:val="0"/>
          <w:szCs w:val="21"/>
          <w:highlight w:val="none"/>
          <w14:textFill>
            <w14:solidFill>
              <w14:schemeClr w14:val="tx1"/>
            </w14:solidFill>
          </w14:textFill>
        </w:rPr>
        <w:t>日</w:t>
      </w: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 xml:space="preserve"> 17 </w:t>
      </w:r>
      <w:r>
        <w:rPr>
          <w:rFonts w:hint="eastAsia" w:ascii="宋体" w:hAnsi="宋体" w:eastAsia="宋体" w:cs="宋体"/>
          <w:b w:val="0"/>
          <w:bCs w:val="0"/>
          <w:color w:val="000000" w:themeColor="text1"/>
          <w:kern w:val="0"/>
          <w:szCs w:val="21"/>
          <w:highlight w:val="none"/>
          <w14:textFill>
            <w14:solidFill>
              <w14:schemeClr w14:val="tx1"/>
            </w14:solidFill>
          </w14:textFill>
        </w:rPr>
        <w:t>时</w:t>
      </w: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 xml:space="preserve"> 00 </w:t>
      </w:r>
      <w:r>
        <w:rPr>
          <w:rFonts w:hint="eastAsia" w:ascii="宋体" w:hAnsi="宋体" w:eastAsia="宋体" w:cs="宋体"/>
          <w:b w:val="0"/>
          <w:bCs w:val="0"/>
          <w:color w:val="000000" w:themeColor="text1"/>
          <w:kern w:val="0"/>
          <w:szCs w:val="21"/>
          <w:highlight w:val="none"/>
          <w14:textFill>
            <w14:solidFill>
              <w14:schemeClr w14:val="tx1"/>
            </w14:solidFill>
          </w14:textFill>
        </w:rPr>
        <w:t>分</w:t>
      </w:r>
      <w:r>
        <w:rPr>
          <w:rFonts w:hint="eastAsia" w:ascii="宋体" w:hAnsi="宋体" w:eastAsia="宋体" w:cs="宋体"/>
          <w:b w:val="0"/>
          <w:bCs w:val="0"/>
          <w:color w:val="000000" w:themeColor="text1"/>
          <w:kern w:val="0"/>
          <w:szCs w:val="21"/>
          <w:highlight w:val="none"/>
          <w:lang w:val="en-US" w:eastAsia="zh-CN"/>
          <w14:textFill>
            <w14:solidFill>
              <w14:schemeClr w14:val="tx1"/>
            </w14:solidFill>
          </w14:textFill>
        </w:rPr>
        <w:t xml:space="preserve"> 00 </w:t>
      </w:r>
      <w:r>
        <w:rPr>
          <w:rFonts w:hint="eastAsia" w:ascii="宋体" w:hAnsi="宋体" w:eastAsia="宋体" w:cs="宋体"/>
          <w:b w:val="0"/>
          <w:bCs w:val="0"/>
          <w:color w:val="000000" w:themeColor="text1"/>
          <w:kern w:val="0"/>
          <w:szCs w:val="21"/>
          <w:highlight w:val="none"/>
          <w14:textFill>
            <w14:solidFill>
              <w14:schemeClr w14:val="tx1"/>
            </w14:solidFill>
          </w14:textFill>
        </w:rPr>
        <w:t>秒</w:t>
      </w:r>
    </w:p>
    <w:p>
      <w:pPr>
        <w:pStyle w:val="6"/>
        <w:keepNext w:val="0"/>
        <w:keepLines w:val="0"/>
        <w:pageBreakBefore w:val="0"/>
        <w:widowControl/>
        <w:numPr>
          <w:ilvl w:val="0"/>
          <w:numId w:val="7"/>
        </w:numPr>
        <w:kinsoku/>
        <w:wordWrap/>
        <w:overflowPunct/>
        <w:topLinePunct w:val="0"/>
        <w:autoSpaceDE/>
        <w:autoSpaceDN/>
        <w:bidi w:val="0"/>
        <w:adjustRightInd/>
        <w:snapToGrid/>
        <w:spacing w:before="0" w:after="0" w:line="360" w:lineRule="auto"/>
        <w:ind w:left="0" w:leftChars="0" w:firstLine="643" w:firstLineChars="200"/>
        <w:jc w:val="both"/>
        <w:textAlignment w:val="auto"/>
        <w:rPr>
          <w:rFonts w:hint="eastAsia" w:ascii="宋体" w:hAnsi="宋体" w:eastAsia="宋体" w:cs="宋体"/>
        </w:rPr>
      </w:pPr>
      <w:bookmarkStart w:id="102" w:name="_Toc23994"/>
      <w:bookmarkStart w:id="103" w:name="_Toc6738"/>
      <w:bookmarkStart w:id="104" w:name="_Toc13314"/>
      <w:bookmarkStart w:id="105" w:name="_Toc20582"/>
      <w:bookmarkStart w:id="106" w:name="_Toc3897"/>
      <w:bookmarkStart w:id="107" w:name="_Toc23198"/>
      <w:bookmarkStart w:id="108" w:name="_Toc29408"/>
      <w:bookmarkStart w:id="109" w:name="_Toc7299"/>
      <w:bookmarkStart w:id="110" w:name="_Toc12239"/>
      <w:bookmarkStart w:id="111" w:name="_Toc3754"/>
      <w:bookmarkStart w:id="112" w:name="_Toc31732"/>
      <w:bookmarkStart w:id="113" w:name="_Toc6963"/>
      <w:r>
        <w:rPr>
          <w:rFonts w:hint="eastAsia" w:ascii="宋体" w:hAnsi="宋体" w:eastAsia="宋体" w:cs="宋体"/>
        </w:rPr>
        <w:t>投标地点</w:t>
      </w:r>
      <w:bookmarkEnd w:id="102"/>
      <w:bookmarkEnd w:id="103"/>
      <w:bookmarkEnd w:id="104"/>
      <w:bookmarkEnd w:id="105"/>
      <w:bookmarkEnd w:id="106"/>
      <w:bookmarkEnd w:id="107"/>
      <w:bookmarkEnd w:id="108"/>
      <w:bookmarkEnd w:id="109"/>
      <w:bookmarkEnd w:id="110"/>
    </w:p>
    <w:bookmarkEnd w:id="111"/>
    <w:bookmarkEnd w:id="112"/>
    <w:bookmarkEnd w:id="113"/>
    <w:p>
      <w:pPr>
        <w:keepNext w:val="0"/>
        <w:keepLines w:val="0"/>
        <w:pageBreakBefore w:val="0"/>
        <w:widowControl w:val="0"/>
        <w:kinsoku/>
        <w:wordWrap/>
        <w:overflowPunct/>
        <w:topLinePunct w:val="0"/>
        <w:autoSpaceDE/>
        <w:autoSpaceDN/>
        <w:bidi w:val="0"/>
        <w:adjustRightInd/>
        <w:snapToGrid w:val="0"/>
        <w:spacing w:line="360" w:lineRule="auto"/>
        <w:ind w:leftChars="0" w:firstLine="420" w:firstLineChars="200"/>
        <w:textAlignment w:val="auto"/>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投标文件应通过邮寄的方式递交（</w:t>
      </w:r>
      <w:r>
        <w:rPr>
          <w:rFonts w:hint="eastAsia" w:ascii="宋体" w:hAnsi="宋体" w:eastAsia="宋体" w:cs="宋体"/>
          <w:b/>
          <w:color w:val="000000" w:themeColor="text1"/>
          <w:kern w:val="0"/>
          <w:szCs w:val="21"/>
          <w14:textFill>
            <w14:solidFill>
              <w14:schemeClr w14:val="tx1"/>
            </w14:solidFill>
          </w14:textFill>
        </w:rPr>
        <w:t>建议选择顺丰或EMS</w:t>
      </w:r>
      <w:r>
        <w:rPr>
          <w:rFonts w:hint="eastAsia" w:ascii="宋体" w:hAnsi="宋体" w:eastAsia="宋体" w:cs="宋体"/>
          <w:color w:val="000000" w:themeColor="text1"/>
          <w:kern w:val="0"/>
          <w:szCs w:val="21"/>
          <w14:textFill>
            <w14:solidFill>
              <w14:schemeClr w14:val="tx1"/>
            </w14:solidFill>
          </w14:textFill>
        </w:rPr>
        <w:t>）由邮寄快递公司</w:t>
      </w:r>
      <w:r>
        <w:rPr>
          <w:rFonts w:hint="eastAsia" w:ascii="宋体" w:hAnsi="宋体" w:eastAsia="宋体" w:cs="宋体"/>
          <w:bCs/>
          <w:color w:val="000000" w:themeColor="text1"/>
          <w:szCs w:val="21"/>
          <w14:textFill>
            <w14:solidFill>
              <w14:schemeClr w14:val="tx1"/>
            </w14:solidFill>
          </w14:textFill>
        </w:rPr>
        <w:t>在截止时间前直接送达</w:t>
      </w:r>
      <w:r>
        <w:rPr>
          <w:rFonts w:hint="eastAsia" w:ascii="宋体" w:hAnsi="宋体" w:eastAsia="宋体" w:cs="宋体"/>
          <w:b/>
          <w:bCs/>
          <w:color w:val="000000" w:themeColor="text1"/>
          <w:szCs w:val="21"/>
          <w14:textFill>
            <w14:solidFill>
              <w14:schemeClr w14:val="tx1"/>
            </w14:solidFill>
          </w14:textFill>
        </w:rPr>
        <w:t>浙江</w:t>
      </w:r>
      <w:r>
        <w:rPr>
          <w:rFonts w:hint="eastAsia" w:ascii="宋体" w:hAnsi="宋体" w:eastAsia="宋体" w:cs="宋体"/>
          <w:b/>
          <w:bCs/>
          <w:color w:val="000000" w:themeColor="text1"/>
          <w:szCs w:val="21"/>
          <w:lang w:val="en-US" w:eastAsia="zh-CN"/>
          <w14:textFill>
            <w14:solidFill>
              <w14:schemeClr w14:val="tx1"/>
            </w14:solidFill>
          </w14:textFill>
        </w:rPr>
        <w:t>亿利达风机股份有限公司</w:t>
      </w:r>
      <w:r>
        <w:rPr>
          <w:rFonts w:hint="eastAsia" w:ascii="宋体" w:hAnsi="宋体" w:eastAsia="宋体" w:cs="宋体"/>
          <w:b/>
          <w:bCs/>
          <w:color w:val="000000" w:themeColor="text1"/>
          <w:szCs w:val="21"/>
          <w14:textFill>
            <w14:solidFill>
              <w14:schemeClr w14:val="tx1"/>
            </w14:solidFill>
          </w14:textFill>
        </w:rPr>
        <w:t>（浙江省台州</w:t>
      </w:r>
      <w:r>
        <w:rPr>
          <w:rFonts w:hint="eastAsia" w:ascii="宋体" w:hAnsi="宋体" w:eastAsia="宋体" w:cs="宋体"/>
          <w:b/>
          <w:bCs/>
          <w:color w:val="000000" w:themeColor="text1"/>
          <w:szCs w:val="21"/>
          <w:lang w:val="en-US" w:eastAsia="zh-CN"/>
          <w14:textFill>
            <w14:solidFill>
              <w14:schemeClr w14:val="tx1"/>
            </w14:solidFill>
          </w14:textFill>
        </w:rPr>
        <w:t>市路桥区横街镇亿利达路2号</w:t>
      </w:r>
      <w:r>
        <w:rPr>
          <w:rFonts w:hint="eastAsia" w:ascii="宋体" w:hAnsi="宋体" w:eastAsia="宋体" w:cs="宋体"/>
          <w:b/>
          <w:bCs/>
          <w:color w:val="000000" w:themeColor="text1"/>
          <w:szCs w:val="21"/>
          <w14:textFill>
            <w14:solidFill>
              <w14:schemeClr w14:val="tx1"/>
            </w14:solidFill>
          </w14:textFill>
        </w:rPr>
        <w:t>）</w:t>
      </w:r>
      <w:r>
        <w:rPr>
          <w:rFonts w:hint="eastAsia" w:ascii="宋体" w:hAnsi="宋体" w:eastAsia="宋体" w:cs="宋体"/>
          <w:bCs/>
          <w:color w:val="000000" w:themeColor="text1"/>
          <w:szCs w:val="21"/>
          <w14:textFill>
            <w14:solidFill>
              <w14:schemeClr w14:val="tx1"/>
            </w14:solidFill>
          </w14:textFill>
        </w:rPr>
        <w:t>，</w:t>
      </w:r>
      <w:r>
        <w:rPr>
          <w:rFonts w:hint="eastAsia" w:ascii="宋体" w:hAnsi="宋体" w:eastAsia="宋体" w:cs="宋体"/>
          <w:b/>
          <w:bCs/>
          <w:color w:val="000000" w:themeColor="text1"/>
          <w:szCs w:val="21"/>
          <w14:textFill>
            <w14:solidFill>
              <w14:schemeClr w14:val="tx1"/>
            </w14:solidFill>
          </w14:textFill>
        </w:rPr>
        <w:t>类似顺丰同城等请谨慎选用</w:t>
      </w:r>
      <w:r>
        <w:rPr>
          <w:rFonts w:hint="eastAsia" w:ascii="宋体" w:hAnsi="宋体" w:eastAsia="宋体" w:cs="宋体"/>
          <w:bCs/>
          <w:color w:val="000000" w:themeColor="text1"/>
          <w:szCs w:val="21"/>
          <w14:textFill>
            <w14:solidFill>
              <w14:schemeClr w14:val="tx1"/>
            </w14:solidFill>
          </w14:textFill>
        </w:rPr>
        <w:t>。所有投标人须考虑物流等相关因素，合理计划邮寄时间，尽量在</w:t>
      </w:r>
      <w:r>
        <w:rPr>
          <w:rFonts w:hint="eastAsia" w:ascii="宋体" w:hAnsi="宋体" w:eastAsia="宋体" w:cs="宋体"/>
          <w:bCs/>
          <w:color w:val="000000" w:themeColor="text1"/>
          <w:szCs w:val="21"/>
          <w:lang w:val="en-US" w:eastAsia="zh-CN"/>
          <w14:textFill>
            <w14:solidFill>
              <w14:schemeClr w14:val="tx1"/>
            </w14:solidFill>
          </w14:textFill>
        </w:rPr>
        <w:t>投标</w:t>
      </w:r>
      <w:r>
        <w:rPr>
          <w:rFonts w:hint="eastAsia" w:ascii="宋体" w:hAnsi="宋体" w:eastAsia="宋体" w:cs="宋体"/>
          <w:bCs/>
          <w:color w:val="000000" w:themeColor="text1"/>
          <w:szCs w:val="21"/>
          <w14:textFill>
            <w14:solidFill>
              <w14:schemeClr w14:val="tx1"/>
            </w14:solidFill>
          </w14:textFill>
        </w:rPr>
        <w:t>截止时间</w:t>
      </w:r>
      <w:r>
        <w:rPr>
          <w:rFonts w:hint="eastAsia" w:ascii="宋体" w:hAnsi="宋体" w:eastAsia="宋体" w:cs="宋体"/>
          <w:b/>
          <w:bCs/>
          <w:color w:val="000000" w:themeColor="text1"/>
          <w:szCs w:val="21"/>
          <w:u w:val="single"/>
          <w14:textFill>
            <w14:solidFill>
              <w14:schemeClr w14:val="tx1"/>
            </w14:solidFill>
          </w14:textFill>
        </w:rPr>
        <w:t>前一个工作日内</w:t>
      </w:r>
      <w:r>
        <w:rPr>
          <w:rFonts w:hint="eastAsia" w:ascii="宋体" w:hAnsi="宋体" w:eastAsia="宋体" w:cs="宋体"/>
          <w:bCs/>
          <w:color w:val="000000" w:themeColor="text1"/>
          <w:szCs w:val="21"/>
          <w14:textFill>
            <w14:solidFill>
              <w14:schemeClr w14:val="tx1"/>
            </w14:solidFill>
          </w14:textFill>
        </w:rPr>
        <w:t>送到指定地点。在投标截止时间后送达的，将被视为“逾期送达”。特别说明：双休日和法定节假日不收件，投标人自行承担邮寄风险。</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请投标人确保投标文件在邮寄过程密封包装完好，因邮寄过程的密封破损造成不符合开标要求的，本招标人概不负责。建议投标文件密封包装后邮寄时再进行外包装。投标人应对邮寄快递响应文件的完整性、密封性负责。请按以下格式邮寄：</w:t>
      </w:r>
    </w:p>
    <w:p>
      <w:pPr>
        <w:keepNext w:val="0"/>
        <w:keepLines w:val="0"/>
        <w:pageBreakBefore w:val="0"/>
        <w:kinsoku/>
        <w:wordWrap/>
        <w:overflowPunct/>
        <w:topLinePunct w:val="0"/>
        <w:autoSpaceDE/>
        <w:autoSpaceDN/>
        <w:bidi w:val="0"/>
        <w:adjustRightInd w:val="0"/>
        <w:snapToGrid w:val="0"/>
        <w:spacing w:line="360" w:lineRule="auto"/>
        <w:ind w:leftChars="0" w:firstLine="422" w:firstLineChars="200"/>
        <w:jc w:val="both"/>
        <w:textAlignment w:val="auto"/>
        <w:rPr>
          <w:rFonts w:hint="eastAsia" w:ascii="宋体" w:hAnsi="宋体" w:eastAsia="宋体" w:cs="宋体"/>
          <w:b/>
          <w:bCs w:val="0"/>
          <w:color w:val="000000" w:themeColor="text1"/>
          <w:szCs w:val="21"/>
          <w14:textFill>
            <w14:solidFill>
              <w14:schemeClr w14:val="tx1"/>
            </w14:solidFill>
          </w14:textFill>
        </w:rPr>
      </w:pPr>
      <w:r>
        <w:rPr>
          <w:rFonts w:hint="eastAsia" w:ascii="宋体" w:hAnsi="宋体" w:eastAsia="宋体" w:cs="宋体"/>
          <w:b/>
          <w:bCs w:val="0"/>
          <w:color w:val="000000" w:themeColor="text1"/>
          <w:szCs w:val="21"/>
          <w14:textFill>
            <w14:solidFill>
              <w14:schemeClr w14:val="tx1"/>
            </w14:solidFill>
          </w14:textFill>
        </w:rPr>
        <w:t>收件单位（必填）：浙江</w:t>
      </w:r>
      <w:r>
        <w:rPr>
          <w:rFonts w:hint="eastAsia" w:ascii="宋体" w:hAnsi="宋体" w:eastAsia="宋体" w:cs="宋体"/>
          <w:b/>
          <w:bCs w:val="0"/>
          <w:color w:val="000000" w:themeColor="text1"/>
          <w:szCs w:val="21"/>
          <w:lang w:val="en-US" w:eastAsia="zh-CN"/>
          <w14:textFill>
            <w14:solidFill>
              <w14:schemeClr w14:val="tx1"/>
            </w14:solidFill>
          </w14:textFill>
        </w:rPr>
        <w:t>亿利达风机股份有限公司</w:t>
      </w:r>
      <w:r>
        <w:rPr>
          <w:rFonts w:hint="eastAsia" w:ascii="宋体" w:hAnsi="宋体" w:eastAsia="宋体" w:cs="宋体"/>
          <w:b/>
          <w:bCs w:val="0"/>
          <w:color w:val="000000" w:themeColor="text1"/>
          <w:szCs w:val="21"/>
          <w14:textFill>
            <w14:solidFill>
              <w14:schemeClr w14:val="tx1"/>
            </w14:solidFill>
          </w14:textFill>
        </w:rPr>
        <w:t>；地址：浙江省台州</w:t>
      </w:r>
      <w:r>
        <w:rPr>
          <w:rFonts w:hint="eastAsia" w:ascii="宋体" w:hAnsi="宋体" w:eastAsia="宋体" w:cs="宋体"/>
          <w:b/>
          <w:bCs w:val="0"/>
          <w:color w:val="000000" w:themeColor="text1"/>
          <w:szCs w:val="21"/>
          <w:lang w:val="en-US" w:eastAsia="zh-CN"/>
          <w14:textFill>
            <w14:solidFill>
              <w14:schemeClr w14:val="tx1"/>
            </w14:solidFill>
          </w14:textFill>
        </w:rPr>
        <w:t>市路桥区横街镇亿利达路2号</w:t>
      </w:r>
      <w:r>
        <w:rPr>
          <w:rFonts w:hint="eastAsia" w:ascii="宋体" w:hAnsi="宋体" w:eastAsia="宋体" w:cs="宋体"/>
          <w:b/>
          <w:bCs w:val="0"/>
          <w:color w:val="000000" w:themeColor="text1"/>
          <w:szCs w:val="21"/>
          <w14:textFill>
            <w14:solidFill>
              <w14:schemeClr w14:val="tx1"/>
            </w14:solidFill>
          </w14:textFill>
        </w:rPr>
        <w:t>；收件人：</w:t>
      </w:r>
      <w:r>
        <w:rPr>
          <w:rFonts w:hint="eastAsia" w:ascii="宋体" w:hAnsi="宋体" w:eastAsia="宋体" w:cs="宋体"/>
          <w:b/>
          <w:bCs w:val="0"/>
          <w:color w:val="000000" w:themeColor="text1"/>
          <w:szCs w:val="21"/>
          <w:highlight w:val="none"/>
          <w:lang w:val="en-US" w:eastAsia="zh-CN"/>
          <w14:textFill>
            <w14:solidFill>
              <w14:schemeClr w14:val="tx1"/>
            </w14:solidFill>
          </w14:textFill>
        </w:rPr>
        <w:t xml:space="preserve">车洁茹 </w:t>
      </w:r>
      <w:r>
        <w:rPr>
          <w:rFonts w:hint="eastAsia" w:ascii="宋体" w:hAnsi="宋体" w:eastAsia="宋体" w:cs="宋体"/>
          <w:b/>
          <w:bCs w:val="0"/>
          <w:color w:val="000000" w:themeColor="text1"/>
          <w:szCs w:val="21"/>
          <w14:textFill>
            <w14:solidFill>
              <w14:schemeClr w14:val="tx1"/>
            </w14:solidFill>
          </w14:textFill>
        </w:rPr>
        <w:t>；电话：</w:t>
      </w:r>
      <w:r>
        <w:rPr>
          <w:rFonts w:hint="eastAsia" w:ascii="宋体" w:hAnsi="宋体" w:eastAsia="宋体" w:cs="宋体"/>
          <w:b/>
          <w:bCs w:val="0"/>
          <w:color w:val="000000" w:themeColor="text1"/>
          <w:szCs w:val="21"/>
          <w:lang w:val="en-US" w:eastAsia="zh-CN"/>
          <w14:textFill>
            <w14:solidFill>
              <w14:schemeClr w14:val="tx1"/>
            </w14:solidFill>
          </w14:textFill>
        </w:rPr>
        <w:t xml:space="preserve">0576-82651228 </w:t>
      </w:r>
      <w:r>
        <w:rPr>
          <w:rFonts w:hint="eastAsia" w:ascii="宋体" w:hAnsi="宋体" w:eastAsia="宋体" w:cs="宋体"/>
          <w:b/>
          <w:bCs w:val="0"/>
          <w:color w:val="000000" w:themeColor="text1"/>
          <w:szCs w:val="21"/>
          <w14:textFill>
            <w14:solidFill>
              <w14:schemeClr w14:val="tx1"/>
            </w14:solidFill>
          </w14:textFill>
        </w:rPr>
        <w:t>。</w:t>
      </w:r>
    </w:p>
    <w:p>
      <w:pPr>
        <w:pStyle w:val="27"/>
        <w:keepNext w:val="0"/>
        <w:keepLines w:val="0"/>
        <w:pageBreakBefore w:val="0"/>
        <w:kinsoku/>
        <w:wordWrap/>
        <w:overflowPunct/>
        <w:topLinePunct w:val="0"/>
        <w:autoSpaceDE/>
        <w:autoSpaceDN/>
        <w:bidi w:val="0"/>
        <w:snapToGrid w:val="0"/>
        <w:spacing w:line="360" w:lineRule="auto"/>
        <w:ind w:leftChars="0" w:firstLine="420" w:firstLineChars="200"/>
        <w:jc w:val="both"/>
        <w:textAlignment w:val="auto"/>
        <w:rPr>
          <w:rFonts w:hint="eastAsia" w:ascii="宋体" w:hAnsi="宋体" w:eastAsia="宋体" w:cs="宋体"/>
          <w:bCs/>
          <w:color w:val="000000" w:themeColor="text1"/>
          <w:szCs w:val="21"/>
          <w:highlight w:val="none"/>
          <w14:textFill>
            <w14:solidFill>
              <w14:schemeClr w14:val="tx1"/>
            </w14:solidFill>
          </w14:textFill>
        </w:rPr>
      </w:pPr>
      <w:r>
        <w:rPr>
          <w:rFonts w:hint="eastAsia" w:ascii="宋体" w:hAnsi="宋体" w:eastAsia="宋体" w:cs="宋体"/>
          <w:bCs/>
          <w:color w:val="000000" w:themeColor="text1"/>
          <w:szCs w:val="21"/>
          <w14:textFill>
            <w14:solidFill>
              <w14:schemeClr w14:val="tx1"/>
            </w14:solidFill>
          </w14:textFill>
        </w:rPr>
        <w:t>寄件单位（必填）：投标人公司全称；地址：xxx（邮编：xxx）；寄件人：公司报名人；电话：报名人手机。</w:t>
      </w:r>
    </w:p>
    <w:p>
      <w:pPr>
        <w:pStyle w:val="27"/>
        <w:keepNext w:val="0"/>
        <w:keepLines w:val="0"/>
        <w:pageBreakBefore w:val="0"/>
        <w:kinsoku/>
        <w:wordWrap/>
        <w:overflowPunct/>
        <w:topLinePunct w:val="0"/>
        <w:autoSpaceDE/>
        <w:autoSpaceDN/>
        <w:bidi w:val="0"/>
        <w:snapToGrid w:val="0"/>
        <w:spacing w:line="360" w:lineRule="auto"/>
        <w:ind w:leftChars="0" w:firstLine="422" w:firstLineChars="200"/>
        <w:jc w:val="both"/>
        <w:textAlignment w:val="auto"/>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highlight w:val="none"/>
          <w14:textFill>
            <w14:solidFill>
              <w14:schemeClr w14:val="tx1"/>
            </w14:solidFill>
          </w14:textFill>
        </w:rPr>
        <w:t>请投标人在寄出纸质投标文件以后同步将PDF扫描版投标文件（盖章、签字件）压缩包加密后发送至“报名资料发送邮箱：</w:t>
      </w:r>
      <w:r>
        <w:rPr>
          <w:rFonts w:hint="eastAsia" w:ascii="宋体" w:hAnsi="宋体" w:eastAsia="宋体" w:cs="宋体"/>
          <w:b/>
          <w:color w:val="000000" w:themeColor="text1"/>
          <w:highlight w:val="none"/>
          <w:lang w:val="en-US" w:eastAsia="zh-CN"/>
          <w14:textFill>
            <w14:solidFill>
              <w14:schemeClr w14:val="tx1"/>
            </w14:solidFill>
          </w14:textFill>
        </w:rPr>
        <w:t xml:space="preserve"> chejieru@yilida.com </w:t>
      </w:r>
      <w:r>
        <w:rPr>
          <w:rFonts w:hint="eastAsia" w:ascii="宋体" w:hAnsi="宋体" w:eastAsia="宋体" w:cs="宋体"/>
          <w:b/>
          <w:color w:val="000000" w:themeColor="text1"/>
          <w:highlight w:val="none"/>
          <w14:textFill>
            <w14:solidFill>
              <w14:schemeClr w14:val="tx1"/>
            </w14:solidFill>
          </w14:textFill>
        </w:rPr>
        <w:t>”</w:t>
      </w:r>
      <w:r>
        <w:rPr>
          <w:rFonts w:hint="eastAsia" w:ascii="宋体" w:hAnsi="宋体" w:eastAsia="宋体" w:cs="宋体"/>
          <w:b/>
          <w:color w:val="000000" w:themeColor="text1"/>
          <w14:textFill>
            <w14:solidFill>
              <w14:schemeClr w14:val="tx1"/>
            </w14:solidFill>
          </w14:textFill>
        </w:rPr>
        <w:t>，投标人应当确保PDF扫描版投标文件（盖章、签字件）压缩包（加密</w:t>
      </w:r>
      <w:r>
        <w:rPr>
          <w:rFonts w:hint="eastAsia" w:ascii="宋体" w:hAnsi="宋体" w:eastAsia="宋体" w:cs="宋体"/>
          <w:b/>
          <w:color w:val="000000" w:themeColor="text1"/>
          <w:lang w:eastAsia="zh-CN"/>
          <w14:textFill>
            <w14:solidFill>
              <w14:schemeClr w14:val="tx1"/>
            </w14:solidFill>
          </w14:textFill>
        </w:rPr>
        <w:t>，</w:t>
      </w:r>
      <w:r>
        <w:rPr>
          <w:rFonts w:hint="eastAsia" w:ascii="宋体" w:hAnsi="宋体" w:eastAsia="宋体" w:cs="宋体"/>
          <w:b/>
          <w:color w:val="000000" w:themeColor="text1"/>
          <w:lang w:val="en-US" w:eastAsia="zh-CN"/>
          <w14:textFill>
            <w14:solidFill>
              <w14:schemeClr w14:val="tx1"/>
            </w14:solidFill>
          </w14:textFill>
        </w:rPr>
        <w:t>评审时电话获取密码</w:t>
      </w:r>
      <w:r>
        <w:rPr>
          <w:rFonts w:hint="eastAsia" w:ascii="宋体" w:hAnsi="宋体" w:eastAsia="宋体" w:cs="宋体"/>
          <w:b/>
          <w:color w:val="000000" w:themeColor="text1"/>
          <w14:textFill>
            <w14:solidFill>
              <w14:schemeClr w14:val="tx1"/>
            </w14:solidFill>
          </w14:textFill>
        </w:rPr>
        <w:t>）在“递交报价投标文件截止时间”之前发送到指定邮箱并与</w:t>
      </w:r>
      <w:r>
        <w:rPr>
          <w:rFonts w:hint="eastAsia" w:ascii="宋体" w:hAnsi="宋体" w:eastAsia="宋体" w:cs="宋体"/>
          <w:b/>
          <w:color w:val="000000" w:themeColor="text1"/>
          <w:lang w:val="en-US" w:eastAsia="zh-CN"/>
          <w14:textFill>
            <w14:solidFill>
              <w14:schemeClr w14:val="tx1"/>
            </w14:solidFill>
          </w14:textFill>
        </w:rPr>
        <w:t>招标单位</w:t>
      </w:r>
      <w:r>
        <w:rPr>
          <w:rFonts w:hint="eastAsia" w:ascii="宋体" w:hAnsi="宋体" w:eastAsia="宋体" w:cs="宋体"/>
          <w:b/>
          <w:color w:val="000000" w:themeColor="text1"/>
          <w14:textFill>
            <w14:solidFill>
              <w14:schemeClr w14:val="tx1"/>
            </w14:solidFill>
          </w14:textFill>
        </w:rPr>
        <w:t>确认。</w:t>
      </w:r>
    </w:p>
    <w:p>
      <w:pPr>
        <w:pStyle w:val="6"/>
        <w:keepNext w:val="0"/>
        <w:keepLines w:val="0"/>
        <w:pageBreakBefore w:val="0"/>
        <w:widowControl/>
        <w:numPr>
          <w:ilvl w:val="0"/>
          <w:numId w:val="7"/>
        </w:numPr>
        <w:kinsoku/>
        <w:wordWrap/>
        <w:overflowPunct/>
        <w:topLinePunct w:val="0"/>
        <w:autoSpaceDE/>
        <w:autoSpaceDN/>
        <w:bidi w:val="0"/>
        <w:adjustRightInd/>
        <w:snapToGrid/>
        <w:spacing w:before="0" w:after="0" w:line="360" w:lineRule="auto"/>
        <w:ind w:left="0" w:leftChars="0" w:firstLine="643" w:firstLineChars="200"/>
        <w:jc w:val="both"/>
        <w:textAlignment w:val="auto"/>
        <w:rPr>
          <w:rFonts w:hint="eastAsia" w:ascii="宋体" w:hAnsi="宋体" w:eastAsia="宋体" w:cs="宋体"/>
        </w:rPr>
      </w:pPr>
      <w:bookmarkStart w:id="114" w:name="_Toc30802"/>
      <w:bookmarkStart w:id="115" w:name="_Toc24679"/>
      <w:bookmarkStart w:id="116" w:name="_Toc22400"/>
      <w:bookmarkStart w:id="117" w:name="_Toc24579"/>
      <w:bookmarkStart w:id="118" w:name="_Toc7115"/>
      <w:bookmarkStart w:id="119" w:name="_Toc6962"/>
      <w:bookmarkStart w:id="120" w:name="_Toc5392"/>
      <w:bookmarkStart w:id="121" w:name="_Toc24486"/>
      <w:bookmarkStart w:id="122" w:name="_Toc3937"/>
      <w:bookmarkStart w:id="123" w:name="_Toc4323"/>
      <w:bookmarkStart w:id="124" w:name="_Toc29950"/>
      <w:bookmarkStart w:id="125" w:name="_Toc3509"/>
      <w:r>
        <w:rPr>
          <w:rFonts w:hint="eastAsia" w:ascii="宋体" w:hAnsi="宋体" w:eastAsia="宋体" w:cs="宋体"/>
        </w:rPr>
        <w:t>开标时间</w:t>
      </w:r>
      <w:bookmarkEnd w:id="114"/>
      <w:bookmarkEnd w:id="115"/>
      <w:bookmarkEnd w:id="116"/>
      <w:bookmarkEnd w:id="117"/>
      <w:bookmarkEnd w:id="118"/>
      <w:bookmarkEnd w:id="119"/>
      <w:bookmarkEnd w:id="120"/>
      <w:bookmarkEnd w:id="121"/>
      <w:bookmarkEnd w:id="122"/>
    </w:p>
    <w:bookmarkEnd w:id="123"/>
    <w:bookmarkEnd w:id="124"/>
    <w:bookmarkEnd w:id="125"/>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422" w:firstLineChars="200"/>
        <w:jc w:val="both"/>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开标时间：</w:t>
      </w:r>
      <w:r>
        <w:rPr>
          <w:rFonts w:hint="eastAsia" w:ascii="宋体" w:hAnsi="宋体" w:eastAsia="宋体" w:cs="宋体"/>
          <w:b/>
          <w:bCs/>
          <w:color w:val="000000" w:themeColor="text1"/>
          <w:kern w:val="0"/>
          <w:szCs w:val="21"/>
          <w:highlight w:val="none"/>
          <w14:textFill>
            <w14:solidFill>
              <w14:schemeClr w14:val="tx1"/>
            </w14:solidFill>
          </w14:textFill>
        </w:rPr>
        <w:t>20</w:t>
      </w: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 xml:space="preserve">24  </w:t>
      </w:r>
      <w:r>
        <w:rPr>
          <w:rFonts w:hint="eastAsia" w:ascii="宋体" w:hAnsi="宋体" w:eastAsia="宋体" w:cs="宋体"/>
          <w:b/>
          <w:bCs/>
          <w:color w:val="000000" w:themeColor="text1"/>
          <w:kern w:val="0"/>
          <w:szCs w:val="21"/>
          <w:highlight w:val="none"/>
          <w14:textFill>
            <w14:solidFill>
              <w14:schemeClr w14:val="tx1"/>
            </w14:solidFill>
          </w14:textFill>
        </w:rPr>
        <w:t>年</w:t>
      </w: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 xml:space="preserve"> 5  </w:t>
      </w:r>
      <w:r>
        <w:rPr>
          <w:rFonts w:hint="eastAsia" w:ascii="宋体" w:hAnsi="宋体" w:eastAsia="宋体" w:cs="宋体"/>
          <w:b/>
          <w:bCs/>
          <w:color w:val="000000" w:themeColor="text1"/>
          <w:kern w:val="0"/>
          <w:szCs w:val="21"/>
          <w:highlight w:val="none"/>
          <w14:textFill>
            <w14:solidFill>
              <w14:schemeClr w14:val="tx1"/>
            </w14:solidFill>
          </w14:textFill>
        </w:rPr>
        <w:t>月</w:t>
      </w: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 xml:space="preserve"> 7 </w:t>
      </w:r>
      <w:r>
        <w:rPr>
          <w:rFonts w:hint="eastAsia" w:ascii="宋体" w:hAnsi="宋体" w:eastAsia="宋体" w:cs="宋体"/>
          <w:b/>
          <w:bCs/>
          <w:color w:val="000000" w:themeColor="text1"/>
          <w:kern w:val="0"/>
          <w:szCs w:val="21"/>
          <w:highlight w:val="none"/>
          <w14:textFill>
            <w14:solidFill>
              <w14:schemeClr w14:val="tx1"/>
            </w14:solidFill>
          </w14:textFill>
        </w:rPr>
        <w:t>日</w:t>
      </w: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 xml:space="preserve"> 8 </w:t>
      </w:r>
      <w:r>
        <w:rPr>
          <w:rFonts w:hint="eastAsia" w:ascii="宋体" w:hAnsi="宋体" w:eastAsia="宋体" w:cs="宋体"/>
          <w:b/>
          <w:bCs/>
          <w:color w:val="000000" w:themeColor="text1"/>
          <w:kern w:val="0"/>
          <w:szCs w:val="21"/>
          <w:highlight w:val="none"/>
          <w14:textFill>
            <w14:solidFill>
              <w14:schemeClr w14:val="tx1"/>
            </w14:solidFill>
          </w14:textFill>
        </w:rPr>
        <w:t>时</w:t>
      </w: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 xml:space="preserve"> 30 </w:t>
      </w:r>
      <w:r>
        <w:rPr>
          <w:rFonts w:hint="eastAsia" w:ascii="宋体" w:hAnsi="宋体" w:eastAsia="宋体" w:cs="宋体"/>
          <w:b/>
          <w:bCs/>
          <w:color w:val="000000" w:themeColor="text1"/>
          <w:kern w:val="0"/>
          <w:szCs w:val="21"/>
          <w:highlight w:val="none"/>
          <w14:textFill>
            <w14:solidFill>
              <w14:schemeClr w14:val="tx1"/>
            </w14:solidFill>
          </w14:textFill>
        </w:rPr>
        <w:t>分</w:t>
      </w:r>
      <w:r>
        <w:rPr>
          <w:rFonts w:hint="eastAsia" w:ascii="宋体" w:hAnsi="宋体" w:eastAsia="宋体" w:cs="宋体"/>
          <w:b/>
          <w:bCs/>
          <w:color w:val="000000" w:themeColor="text1"/>
          <w:kern w:val="0"/>
          <w:szCs w:val="21"/>
          <w:highlight w:val="none"/>
          <w:lang w:val="en-US" w:eastAsia="zh-CN"/>
          <w14:textFill>
            <w14:solidFill>
              <w14:schemeClr w14:val="tx1"/>
            </w14:solidFill>
          </w14:textFill>
        </w:rPr>
        <w:t xml:space="preserve">  00  </w:t>
      </w:r>
      <w:r>
        <w:rPr>
          <w:rFonts w:hint="eastAsia" w:ascii="宋体" w:hAnsi="宋体" w:eastAsia="宋体" w:cs="宋体"/>
          <w:b/>
          <w:bCs/>
          <w:color w:val="000000" w:themeColor="text1"/>
          <w:kern w:val="0"/>
          <w:szCs w:val="21"/>
          <w:highlight w:val="none"/>
          <w14:textFill>
            <w14:solidFill>
              <w14:schemeClr w14:val="tx1"/>
            </w14:solidFill>
          </w14:textFill>
        </w:rPr>
        <w:t>秒</w:t>
      </w:r>
    </w:p>
    <w:p>
      <w:pPr>
        <w:pStyle w:val="27"/>
        <w:keepNext w:val="0"/>
        <w:keepLines w:val="0"/>
        <w:pageBreakBefore w:val="0"/>
        <w:kinsoku/>
        <w:wordWrap/>
        <w:overflowPunct/>
        <w:topLinePunct w:val="0"/>
        <w:autoSpaceDE/>
        <w:autoSpaceDN/>
        <w:bidi w:val="0"/>
        <w:snapToGrid w:val="0"/>
        <w:spacing w:line="360" w:lineRule="auto"/>
        <w:ind w:leftChars="0" w:firstLine="422" w:firstLineChars="200"/>
        <w:jc w:val="both"/>
        <w:textAlignment w:val="auto"/>
        <w:rPr>
          <w:rFonts w:hint="eastAsia" w:ascii="宋体" w:hAnsi="宋体" w:eastAsia="宋体" w:cs="宋体"/>
          <w:b/>
          <w:color w:val="000000" w:themeColor="text1"/>
          <w14:textFill>
            <w14:solidFill>
              <w14:schemeClr w14:val="tx1"/>
            </w14:solidFill>
          </w14:textFill>
        </w:rPr>
      </w:pPr>
      <w:r>
        <w:rPr>
          <w:rFonts w:hint="eastAsia" w:ascii="宋体" w:hAnsi="宋体" w:eastAsia="宋体" w:cs="宋体"/>
          <w:b/>
          <w:color w:val="000000" w:themeColor="text1"/>
          <w14:textFill>
            <w14:solidFill>
              <w14:schemeClr w14:val="tx1"/>
            </w14:solidFill>
          </w14:textFill>
        </w:rPr>
        <w:t>如出现纸质投标文件无法送达的情况，则评标委员会将根据投标人的PDF扫描版投标文件（盖章、签字件）压缩包（加密</w:t>
      </w:r>
      <w:r>
        <w:rPr>
          <w:rFonts w:hint="eastAsia" w:ascii="宋体" w:hAnsi="宋体" w:eastAsia="宋体" w:cs="宋体"/>
          <w:b/>
          <w:color w:val="000000" w:themeColor="text1"/>
          <w:lang w:eastAsia="zh-CN"/>
          <w14:textFill>
            <w14:solidFill>
              <w14:schemeClr w14:val="tx1"/>
            </w14:solidFill>
          </w14:textFill>
        </w:rPr>
        <w:t>，</w:t>
      </w:r>
      <w:r>
        <w:rPr>
          <w:rFonts w:hint="eastAsia" w:ascii="宋体" w:hAnsi="宋体" w:eastAsia="宋体" w:cs="宋体"/>
          <w:b/>
          <w:color w:val="000000" w:themeColor="text1"/>
          <w:lang w:val="en-US" w:eastAsia="zh-CN"/>
          <w14:textFill>
            <w14:solidFill>
              <w14:schemeClr w14:val="tx1"/>
            </w14:solidFill>
          </w14:textFill>
        </w:rPr>
        <w:t>评审时电话获取密码</w:t>
      </w:r>
      <w:r>
        <w:rPr>
          <w:rFonts w:hint="eastAsia" w:ascii="宋体" w:hAnsi="宋体" w:eastAsia="宋体" w:cs="宋体"/>
          <w:b/>
          <w:color w:val="000000" w:themeColor="text1"/>
          <w14:textFill>
            <w14:solidFill>
              <w14:schemeClr w14:val="tx1"/>
            </w14:solidFill>
          </w14:textFill>
        </w:rPr>
        <w:t>）进行评审，投标人应当保证纸质文件与PDF扫描版投标文件（盖章、签字件）压缩包内容的一致性，后期如发现不一致的，招标人有权终止合同并追究投标人的法律责任。</w:t>
      </w:r>
    </w:p>
    <w:p>
      <w:pPr>
        <w:pStyle w:val="6"/>
        <w:keepNext w:val="0"/>
        <w:keepLines w:val="0"/>
        <w:pageBreakBefore w:val="0"/>
        <w:widowControl/>
        <w:numPr>
          <w:ilvl w:val="0"/>
          <w:numId w:val="7"/>
        </w:numPr>
        <w:kinsoku/>
        <w:wordWrap/>
        <w:overflowPunct/>
        <w:topLinePunct w:val="0"/>
        <w:autoSpaceDE/>
        <w:autoSpaceDN/>
        <w:bidi w:val="0"/>
        <w:adjustRightInd/>
        <w:snapToGrid/>
        <w:spacing w:before="0" w:after="0" w:line="360" w:lineRule="auto"/>
        <w:ind w:left="0" w:leftChars="0" w:firstLine="643" w:firstLineChars="200"/>
        <w:jc w:val="both"/>
        <w:textAlignment w:val="auto"/>
        <w:rPr>
          <w:rFonts w:hint="eastAsia" w:ascii="宋体" w:hAnsi="宋体" w:eastAsia="宋体" w:cs="宋体"/>
        </w:rPr>
      </w:pPr>
      <w:bookmarkStart w:id="126" w:name="_Toc22807"/>
      <w:bookmarkStart w:id="127" w:name="_Toc23973"/>
      <w:bookmarkStart w:id="128" w:name="_Toc16781"/>
      <w:bookmarkStart w:id="129" w:name="_Toc31124"/>
      <w:bookmarkStart w:id="130" w:name="_Toc6863"/>
      <w:bookmarkStart w:id="131" w:name="_Toc2073"/>
      <w:bookmarkStart w:id="132" w:name="_Toc22899"/>
      <w:bookmarkStart w:id="133" w:name="_Toc31147"/>
      <w:bookmarkStart w:id="134" w:name="_Toc11941"/>
      <w:bookmarkStart w:id="135" w:name="_Toc30063"/>
      <w:bookmarkStart w:id="136" w:name="_Toc7610"/>
      <w:bookmarkStart w:id="137" w:name="_Toc26000"/>
      <w:r>
        <w:rPr>
          <w:rFonts w:hint="eastAsia" w:ascii="宋体" w:hAnsi="宋体" w:eastAsia="宋体" w:cs="宋体"/>
        </w:rPr>
        <w:t>开标地点</w:t>
      </w:r>
      <w:bookmarkEnd w:id="126"/>
      <w:bookmarkEnd w:id="127"/>
      <w:bookmarkEnd w:id="128"/>
      <w:bookmarkEnd w:id="129"/>
      <w:bookmarkEnd w:id="130"/>
      <w:bookmarkEnd w:id="131"/>
      <w:bookmarkEnd w:id="132"/>
      <w:bookmarkEnd w:id="133"/>
      <w:bookmarkEnd w:id="134"/>
    </w:p>
    <w:bookmarkEnd w:id="135"/>
    <w:bookmarkEnd w:id="136"/>
    <w:bookmarkEnd w:id="137"/>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开标地点：浙江亿利达风机股份有限公司厂区</w:t>
      </w:r>
    </w:p>
    <w:p>
      <w:pPr>
        <w:pStyle w:val="6"/>
        <w:keepNext w:val="0"/>
        <w:keepLines w:val="0"/>
        <w:pageBreakBefore w:val="0"/>
        <w:widowControl/>
        <w:kinsoku/>
        <w:wordWrap/>
        <w:overflowPunct/>
        <w:topLinePunct w:val="0"/>
        <w:autoSpaceDE/>
        <w:autoSpaceDN/>
        <w:bidi w:val="0"/>
        <w:adjustRightInd/>
        <w:snapToGrid/>
        <w:spacing w:before="0" w:after="0" w:line="360" w:lineRule="auto"/>
        <w:ind w:leftChars="0" w:firstLine="643" w:firstLineChars="200"/>
        <w:jc w:val="both"/>
        <w:textAlignment w:val="auto"/>
        <w:rPr>
          <w:rFonts w:hint="eastAsia" w:ascii="宋体" w:hAnsi="宋体" w:eastAsia="宋体" w:cs="宋体"/>
        </w:rPr>
      </w:pPr>
      <w:bookmarkStart w:id="138" w:name="_Toc27228"/>
      <w:bookmarkStart w:id="139" w:name="_Toc25659"/>
      <w:bookmarkStart w:id="140" w:name="_Toc13547"/>
      <w:bookmarkStart w:id="141" w:name="_Toc24290"/>
      <w:bookmarkStart w:id="142" w:name="_Toc17192"/>
      <w:bookmarkStart w:id="143" w:name="_Toc21520"/>
      <w:bookmarkStart w:id="144" w:name="_Toc30738"/>
      <w:bookmarkStart w:id="145" w:name="_Toc15225"/>
      <w:bookmarkStart w:id="146" w:name="_Toc9189"/>
      <w:bookmarkStart w:id="147" w:name="_Toc25163"/>
      <w:bookmarkStart w:id="148" w:name="_Toc14735"/>
      <w:bookmarkStart w:id="149" w:name="_Toc25128"/>
      <w:r>
        <w:rPr>
          <w:rFonts w:hint="eastAsia" w:ascii="宋体" w:hAnsi="宋体" w:eastAsia="宋体" w:cs="宋体"/>
        </w:rPr>
        <w:t>十一、投标保证金</w:t>
      </w:r>
      <w:bookmarkEnd w:id="138"/>
      <w:bookmarkEnd w:id="139"/>
      <w:bookmarkEnd w:id="140"/>
      <w:bookmarkEnd w:id="141"/>
      <w:bookmarkEnd w:id="142"/>
      <w:bookmarkEnd w:id="143"/>
      <w:bookmarkEnd w:id="144"/>
      <w:bookmarkEnd w:id="145"/>
      <w:bookmarkEnd w:id="146"/>
      <w:bookmarkEnd w:id="147"/>
      <w:bookmarkEnd w:id="148"/>
      <w:bookmarkEnd w:id="149"/>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投标保证金类型：投标保证金</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b w:val="0"/>
          <w:bCs/>
          <w:color w:val="000000" w:themeColor="text1"/>
          <w:kern w:val="0"/>
          <w:szCs w:val="21"/>
          <w:highlight w:val="none"/>
          <w14:textFill>
            <w14:solidFill>
              <w14:schemeClr w14:val="tx1"/>
            </w14:solidFill>
          </w14:textFill>
        </w:rPr>
      </w:pPr>
      <w:r>
        <w:rPr>
          <w:rFonts w:hint="eastAsia" w:ascii="宋体" w:hAnsi="宋体" w:eastAsia="宋体" w:cs="宋体"/>
          <w:b w:val="0"/>
          <w:bCs/>
          <w:color w:val="000000" w:themeColor="text1"/>
          <w:kern w:val="0"/>
          <w:szCs w:val="21"/>
          <w14:textFill>
            <w14:solidFill>
              <w14:schemeClr w14:val="tx1"/>
            </w14:solidFill>
          </w14:textFill>
        </w:rPr>
        <w:t>投标保证金</w:t>
      </w:r>
      <w:r>
        <w:rPr>
          <w:rFonts w:hint="eastAsia" w:ascii="宋体" w:hAnsi="宋体" w:eastAsia="宋体" w:cs="宋体"/>
          <w:b w:val="0"/>
          <w:bCs/>
          <w:color w:val="000000" w:themeColor="text1"/>
          <w:kern w:val="0"/>
          <w:szCs w:val="21"/>
          <w:highlight w:val="none"/>
          <w14:textFill>
            <w14:solidFill>
              <w14:schemeClr w14:val="tx1"/>
            </w14:solidFill>
          </w14:textFill>
        </w:rPr>
        <w:t>：</w:t>
      </w:r>
      <w:r>
        <w:rPr>
          <w:rFonts w:hint="eastAsia" w:ascii="宋体" w:hAnsi="宋体" w:eastAsia="宋体" w:cs="宋体"/>
          <w:b w:val="0"/>
          <w:bCs/>
          <w:color w:val="000000" w:themeColor="text1"/>
          <w:kern w:val="0"/>
          <w:szCs w:val="21"/>
          <w:highlight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保证金交付方式：汇票/支票/银行转账</w:t>
      </w:r>
    </w:p>
    <w:p>
      <w:pPr>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收款单位（户名）：浙江</w:t>
      </w:r>
      <w:r>
        <w:rPr>
          <w:rFonts w:hint="eastAsia" w:ascii="宋体" w:hAnsi="宋体" w:eastAsia="宋体" w:cs="宋体"/>
          <w:color w:val="000000" w:themeColor="text1"/>
          <w:kern w:val="0"/>
          <w:szCs w:val="21"/>
          <w:lang w:val="en-US" w:eastAsia="zh-CN"/>
          <w14:textFill>
            <w14:solidFill>
              <w14:schemeClr w14:val="tx1"/>
            </w14:solidFill>
          </w14:textFill>
        </w:rPr>
        <w:t>亿利达风机股份有限公司</w:t>
      </w:r>
    </w:p>
    <w:p>
      <w:pPr>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开户银行：</w:t>
      </w:r>
      <w:r>
        <w:rPr>
          <w:rFonts w:hint="eastAsia" w:ascii="宋体" w:hAnsi="宋体" w:eastAsia="宋体" w:cs="宋体"/>
          <w:color w:val="000000" w:themeColor="text1"/>
          <w:kern w:val="0"/>
          <w:szCs w:val="21"/>
          <w:highlight w:val="none"/>
          <w:lang w:val="en-US" w:eastAsia="zh-CN"/>
          <w14:textFill>
            <w14:solidFill>
              <w14:schemeClr w14:val="tx1"/>
            </w14:solidFill>
          </w14:textFill>
        </w:rPr>
        <w:t>建行台州市路桥支行</w:t>
      </w:r>
    </w:p>
    <w:p>
      <w:pPr>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银行账号：</w:t>
      </w:r>
      <w:r>
        <w:rPr>
          <w:rFonts w:hint="eastAsia" w:ascii="宋体" w:hAnsi="宋体" w:eastAsia="宋体" w:cs="宋体"/>
          <w:color w:val="000000" w:themeColor="text1"/>
          <w:kern w:val="0"/>
          <w:szCs w:val="21"/>
          <w:highlight w:val="none"/>
          <w:lang w:val="en-US" w:eastAsia="zh-CN"/>
          <w14:textFill>
            <w14:solidFill>
              <w14:schemeClr w14:val="tx1"/>
            </w14:solidFill>
          </w14:textFill>
        </w:rPr>
        <w:t>33001665100050009443</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投标人应在投标截止时间前办妥投标保证金交纳手续。（</w:t>
      </w:r>
      <w:r>
        <w:rPr>
          <w:rFonts w:hint="eastAsia" w:ascii="宋体" w:hAnsi="宋体" w:eastAsia="宋体" w:cs="宋体"/>
          <w:b/>
          <w:color w:val="000000" w:themeColor="text1"/>
          <w14:textFill>
            <w14:solidFill>
              <w14:schemeClr w14:val="tx1"/>
            </w14:solidFill>
          </w14:textFill>
        </w:rPr>
        <w:t>从投标人单位账户汇入以上账户并写明项目编号</w:t>
      </w:r>
      <w:r>
        <w:rPr>
          <w:rFonts w:hint="eastAsia" w:ascii="宋体" w:hAnsi="宋体" w:eastAsia="宋体" w:cs="宋体"/>
          <w:b/>
          <w:color w:val="000000" w:themeColor="text1"/>
          <w:kern w:val="0"/>
          <w:szCs w:val="21"/>
          <w14:textFill>
            <w14:solidFill>
              <w14:schemeClr w14:val="tx1"/>
            </w14:solidFill>
          </w14:textFill>
        </w:rPr>
        <w:t>）</w:t>
      </w:r>
    </w:p>
    <w:p>
      <w:pPr>
        <w:pStyle w:val="6"/>
        <w:keepNext w:val="0"/>
        <w:keepLines w:val="0"/>
        <w:pageBreakBefore w:val="0"/>
        <w:widowControl/>
        <w:kinsoku/>
        <w:wordWrap/>
        <w:overflowPunct/>
        <w:topLinePunct w:val="0"/>
        <w:autoSpaceDE/>
        <w:autoSpaceDN/>
        <w:bidi w:val="0"/>
        <w:adjustRightInd/>
        <w:snapToGrid/>
        <w:spacing w:before="0" w:after="0" w:line="360" w:lineRule="auto"/>
        <w:ind w:leftChars="0" w:firstLine="643" w:firstLineChars="200"/>
        <w:jc w:val="both"/>
        <w:textAlignment w:val="auto"/>
        <w:rPr>
          <w:rFonts w:hint="eastAsia" w:ascii="宋体" w:hAnsi="宋体" w:eastAsia="宋体" w:cs="宋体"/>
        </w:rPr>
      </w:pPr>
      <w:bookmarkStart w:id="150" w:name="_Toc20577"/>
      <w:bookmarkStart w:id="151" w:name="_Toc18273"/>
      <w:bookmarkStart w:id="152" w:name="_Toc10422"/>
      <w:bookmarkStart w:id="153" w:name="_Toc7572"/>
      <w:bookmarkStart w:id="154" w:name="_Toc24551"/>
      <w:bookmarkStart w:id="155" w:name="_Toc9679"/>
      <w:bookmarkStart w:id="156" w:name="_Toc13998"/>
      <w:bookmarkStart w:id="157" w:name="_Toc16391"/>
      <w:bookmarkStart w:id="158" w:name="_Toc31"/>
      <w:bookmarkStart w:id="159" w:name="_Toc29777"/>
      <w:bookmarkStart w:id="160" w:name="_Toc25132"/>
      <w:bookmarkStart w:id="161" w:name="_Toc13614"/>
      <w:r>
        <w:rPr>
          <w:rFonts w:hint="eastAsia" w:ascii="宋体" w:hAnsi="宋体" w:eastAsia="宋体" w:cs="宋体"/>
          <w:lang w:val="en-US" w:eastAsia="zh-CN"/>
        </w:rPr>
        <w:t>十二、</w:t>
      </w:r>
      <w:r>
        <w:rPr>
          <w:rFonts w:hint="eastAsia" w:ascii="宋体" w:hAnsi="宋体" w:eastAsia="宋体" w:cs="宋体"/>
        </w:rPr>
        <w:t>异议和投诉</w:t>
      </w:r>
      <w:bookmarkEnd w:id="150"/>
      <w:bookmarkEnd w:id="151"/>
      <w:bookmarkEnd w:id="152"/>
      <w:bookmarkEnd w:id="153"/>
      <w:bookmarkEnd w:id="154"/>
      <w:bookmarkEnd w:id="155"/>
      <w:bookmarkEnd w:id="156"/>
      <w:bookmarkEnd w:id="157"/>
      <w:bookmarkEnd w:id="158"/>
    </w:p>
    <w:bookmarkEnd w:id="159"/>
    <w:bookmarkEnd w:id="160"/>
    <w:bookmarkEnd w:id="161"/>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1.</w:t>
      </w:r>
      <w:r>
        <w:rPr>
          <w:rFonts w:hint="eastAsia" w:ascii="宋体" w:hAnsi="宋体" w:eastAsia="宋体" w:cs="宋体"/>
          <w:color w:val="000000" w:themeColor="text1"/>
          <w:kern w:val="0"/>
          <w:szCs w:val="21"/>
          <w14:textFill>
            <w14:solidFill>
              <w14:schemeClr w14:val="tx1"/>
            </w14:solidFill>
          </w14:textFill>
        </w:rPr>
        <w:t>投标人</w:t>
      </w:r>
      <w:r>
        <w:rPr>
          <w:rFonts w:hint="eastAsia" w:ascii="宋体" w:hAnsi="宋体" w:eastAsia="宋体" w:cs="宋体"/>
          <w:color w:val="000000" w:themeColor="text1"/>
          <w:szCs w:val="21"/>
          <w14:textFill>
            <w14:solidFill>
              <w14:schemeClr w14:val="tx1"/>
            </w14:solidFill>
          </w14:textFill>
        </w:rPr>
        <w:t>对招标文件有异议的，应当在投标截止时间</w:t>
      </w:r>
      <w:r>
        <w:rPr>
          <w:rFonts w:hint="eastAsia" w:ascii="宋体" w:hAnsi="宋体" w:eastAsia="宋体" w:cs="宋体"/>
          <w:color w:val="000000" w:themeColor="text1"/>
          <w:szCs w:val="21"/>
          <w:lang w:val="en-US" w:eastAsia="zh-CN"/>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日前向招标人提出；</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2.</w:t>
      </w:r>
      <w:r>
        <w:rPr>
          <w:rFonts w:hint="eastAsia" w:ascii="宋体" w:hAnsi="宋体" w:eastAsia="宋体" w:cs="宋体"/>
          <w:color w:val="000000" w:themeColor="text1"/>
          <w:kern w:val="0"/>
          <w:szCs w:val="21"/>
          <w14:textFill>
            <w14:solidFill>
              <w14:schemeClr w14:val="tx1"/>
            </w14:solidFill>
          </w14:textFill>
        </w:rPr>
        <w:t>投标人对评标结果有异议的，应当在中标候选人公示期间</w:t>
      </w:r>
      <w:r>
        <w:rPr>
          <w:rFonts w:hint="eastAsia" w:ascii="宋体" w:hAnsi="宋体" w:eastAsia="宋体" w:cs="宋体"/>
          <w:color w:val="000000" w:themeColor="text1"/>
          <w:szCs w:val="21"/>
          <w14:textFill>
            <w14:solidFill>
              <w14:schemeClr w14:val="tx1"/>
            </w14:solidFill>
          </w14:textFill>
        </w:rPr>
        <w:t>向招标人提出</w:t>
      </w:r>
      <w:r>
        <w:rPr>
          <w:rFonts w:hint="eastAsia" w:ascii="宋体" w:hAnsi="宋体" w:eastAsia="宋体" w:cs="宋体"/>
          <w:color w:val="000000" w:themeColor="text1"/>
          <w:kern w:val="0"/>
          <w:szCs w:val="21"/>
          <w14:textFill>
            <w14:solidFill>
              <w14:schemeClr w14:val="tx1"/>
            </w14:solidFill>
          </w14:textFill>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360" w:lineRule="auto"/>
        <w:ind w:left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3.</w:t>
      </w:r>
      <w:r>
        <w:rPr>
          <w:rFonts w:hint="eastAsia" w:ascii="宋体" w:hAnsi="宋体" w:eastAsia="宋体" w:cs="宋体"/>
          <w:color w:val="000000" w:themeColor="text1"/>
          <w:kern w:val="0"/>
          <w:szCs w:val="21"/>
          <w14:textFill>
            <w14:solidFill>
              <w14:schemeClr w14:val="tx1"/>
            </w14:solidFill>
          </w14:textFill>
        </w:rPr>
        <w:t>投标人对招标人的异议答复不满意</w:t>
      </w:r>
      <w:r>
        <w:rPr>
          <w:rFonts w:hint="eastAsia" w:ascii="宋体" w:hAnsi="宋体" w:eastAsia="宋体" w:cs="宋体"/>
          <w:color w:val="000000" w:themeColor="text1"/>
          <w:kern w:val="0"/>
          <w:szCs w:val="21"/>
          <w:lang w:val="en-US" w:eastAsia="zh-CN"/>
          <w14:textFill>
            <w14:solidFill>
              <w14:schemeClr w14:val="tx1"/>
            </w14:solidFill>
          </w14:textFill>
        </w:rPr>
        <w:t>或</w:t>
      </w:r>
      <w:r>
        <w:rPr>
          <w:rFonts w:hint="eastAsia" w:ascii="宋体" w:hAnsi="宋体" w:eastAsia="宋体" w:cs="宋体"/>
          <w:color w:val="000000" w:themeColor="text1"/>
          <w:kern w:val="0"/>
          <w:szCs w:val="21"/>
          <w14:textFill>
            <w14:solidFill>
              <w14:schemeClr w14:val="tx1"/>
            </w14:solidFill>
          </w14:textFill>
        </w:rPr>
        <w:t>未在规定时间（3个工作日）内作出答复的，可以在答复期满后</w:t>
      </w:r>
      <w:r>
        <w:rPr>
          <w:rFonts w:hint="eastAsia" w:ascii="宋体" w:hAnsi="宋体" w:eastAsia="宋体" w:cs="宋体"/>
          <w:color w:val="000000" w:themeColor="text1"/>
          <w:kern w:val="0"/>
          <w:szCs w:val="21"/>
          <w:lang w:val="en-US" w:eastAsia="zh-CN"/>
          <w14:textFill>
            <w14:solidFill>
              <w14:schemeClr w14:val="tx1"/>
            </w14:solidFill>
          </w14:textFill>
        </w:rPr>
        <w:t>3</w:t>
      </w:r>
      <w:r>
        <w:rPr>
          <w:rFonts w:hint="eastAsia" w:ascii="宋体" w:hAnsi="宋体" w:eastAsia="宋体" w:cs="宋体"/>
          <w:color w:val="000000" w:themeColor="text1"/>
          <w:kern w:val="0"/>
          <w:szCs w:val="21"/>
          <w14:textFill>
            <w14:solidFill>
              <w14:schemeClr w14:val="tx1"/>
            </w14:solidFill>
          </w14:textFill>
        </w:rPr>
        <w:t>日内</w:t>
      </w:r>
      <w:r>
        <w:rPr>
          <w:rFonts w:hint="eastAsia" w:ascii="宋体" w:hAnsi="宋体" w:eastAsia="宋体" w:cs="宋体"/>
          <w:color w:val="000000" w:themeColor="text1"/>
          <w:kern w:val="0"/>
          <w:szCs w:val="21"/>
          <w:lang w:val="en-US" w:eastAsia="zh-CN"/>
          <w14:textFill>
            <w14:solidFill>
              <w14:schemeClr w14:val="tx1"/>
            </w14:solidFill>
          </w14:textFill>
        </w:rPr>
        <w:t>向异议联系人</w:t>
      </w:r>
      <w:r>
        <w:rPr>
          <w:rFonts w:hint="eastAsia" w:ascii="宋体" w:hAnsi="宋体" w:eastAsia="宋体" w:cs="宋体"/>
          <w:color w:val="000000" w:themeColor="text1"/>
          <w:kern w:val="0"/>
          <w:szCs w:val="21"/>
          <w14:textFill>
            <w14:solidFill>
              <w14:schemeClr w14:val="tx1"/>
            </w14:solidFill>
          </w14:textFill>
        </w:rPr>
        <w:t>提出投诉。</w:t>
      </w:r>
    </w:p>
    <w:p>
      <w:pPr>
        <w:pStyle w:val="6"/>
        <w:keepNext w:val="0"/>
        <w:keepLines w:val="0"/>
        <w:pageBreakBefore w:val="0"/>
        <w:widowControl/>
        <w:kinsoku/>
        <w:wordWrap/>
        <w:overflowPunct/>
        <w:topLinePunct w:val="0"/>
        <w:autoSpaceDE/>
        <w:autoSpaceDN/>
        <w:bidi w:val="0"/>
        <w:adjustRightInd/>
        <w:snapToGrid/>
        <w:spacing w:before="0" w:after="0" w:line="360" w:lineRule="auto"/>
        <w:ind w:leftChars="0" w:firstLine="643" w:firstLineChars="200"/>
        <w:jc w:val="both"/>
        <w:textAlignment w:val="auto"/>
        <w:rPr>
          <w:rFonts w:hint="eastAsia" w:ascii="宋体" w:hAnsi="宋体" w:eastAsia="宋体" w:cs="宋体"/>
        </w:rPr>
      </w:pPr>
      <w:bookmarkStart w:id="162" w:name="_Toc31050"/>
      <w:bookmarkStart w:id="163" w:name="_Toc14563"/>
      <w:bookmarkStart w:id="164" w:name="_Toc4476"/>
      <w:bookmarkStart w:id="165" w:name="_Toc16170"/>
      <w:bookmarkStart w:id="166" w:name="_Toc750"/>
      <w:bookmarkStart w:id="167" w:name="_Toc15865"/>
      <w:bookmarkStart w:id="168" w:name="_Toc20532"/>
      <w:bookmarkStart w:id="169" w:name="_Toc32230"/>
      <w:bookmarkStart w:id="170" w:name="_Toc27821"/>
      <w:bookmarkStart w:id="171" w:name="_Toc27253"/>
      <w:bookmarkStart w:id="172" w:name="_Toc12846"/>
      <w:bookmarkStart w:id="173" w:name="_Toc32654"/>
      <w:r>
        <w:rPr>
          <w:rFonts w:hint="eastAsia" w:ascii="宋体" w:hAnsi="宋体" w:eastAsia="宋体" w:cs="宋体"/>
        </w:rPr>
        <w:t>十三、其他事项</w:t>
      </w:r>
      <w:bookmarkEnd w:id="162"/>
      <w:bookmarkEnd w:id="163"/>
      <w:bookmarkEnd w:id="164"/>
      <w:bookmarkEnd w:id="165"/>
      <w:bookmarkEnd w:id="166"/>
      <w:bookmarkEnd w:id="167"/>
      <w:bookmarkEnd w:id="168"/>
      <w:bookmarkEnd w:id="169"/>
      <w:bookmarkEnd w:id="170"/>
      <w:bookmarkEnd w:id="171"/>
      <w:bookmarkEnd w:id="172"/>
      <w:bookmarkEnd w:id="173"/>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1.异议受理地点：</w:t>
      </w:r>
      <w:r>
        <w:rPr>
          <w:rFonts w:hint="eastAsia" w:ascii="宋体" w:hAnsi="宋体" w:eastAsia="宋体" w:cs="宋体"/>
          <w:color w:val="000000" w:themeColor="text1"/>
          <w:kern w:val="0"/>
          <w:szCs w:val="21"/>
          <w:lang w:val="en-US" w:eastAsia="zh-CN"/>
          <w14:textFill>
            <w14:solidFill>
              <w14:schemeClr w14:val="tx1"/>
            </w14:solidFill>
          </w14:textFill>
        </w:rPr>
        <w:t>浙江亿利达风机股份有限公司</w:t>
      </w:r>
      <w:r>
        <w:rPr>
          <w:rFonts w:hint="eastAsia" w:ascii="宋体" w:hAnsi="宋体" w:eastAsia="宋体" w:cs="宋体"/>
          <w:color w:val="000000" w:themeColor="text1"/>
          <w:kern w:val="0"/>
          <w:szCs w:val="21"/>
          <w14:textFill>
            <w14:solidFill>
              <w14:schemeClr w14:val="tx1"/>
            </w14:solidFill>
          </w14:textFill>
        </w:rPr>
        <w:t>；联系人：</w:t>
      </w:r>
      <w:r>
        <w:rPr>
          <w:rFonts w:hint="eastAsia" w:ascii="宋体" w:hAnsi="宋体" w:eastAsia="宋体" w:cs="宋体"/>
          <w:color w:val="000000" w:themeColor="text1"/>
          <w:kern w:val="0"/>
          <w:szCs w:val="21"/>
          <w:lang w:val="en-US" w:eastAsia="zh-CN"/>
          <w14:textFill>
            <w14:solidFill>
              <w14:schemeClr w14:val="tx1"/>
            </w14:solidFill>
          </w14:textFill>
        </w:rPr>
        <w:t>车洁茹</w:t>
      </w:r>
      <w:r>
        <w:rPr>
          <w:rFonts w:hint="eastAsia" w:ascii="宋体" w:hAnsi="宋体" w:eastAsia="宋体" w:cs="宋体"/>
          <w:color w:val="000000" w:themeColor="text1"/>
          <w:kern w:val="0"/>
          <w:szCs w:val="21"/>
          <w14:textFill>
            <w14:solidFill>
              <w14:schemeClr w14:val="tx1"/>
            </w14:solidFill>
          </w14:textFill>
        </w:rPr>
        <w:t>；联系电话</w:t>
      </w:r>
      <w:r>
        <w:rPr>
          <w:rFonts w:hint="eastAsia" w:ascii="宋体" w:hAnsi="宋体" w:eastAsia="宋体" w:cs="宋体"/>
          <w:color w:val="000000" w:themeColor="text1"/>
          <w:kern w:val="0"/>
          <w:szCs w:val="21"/>
          <w:highlight w:val="none"/>
          <w14:textFill>
            <w14:solidFill>
              <w14:schemeClr w14:val="tx1"/>
            </w14:solidFill>
          </w14:textFill>
        </w:rPr>
        <w:t>：</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0576-82651228 </w:t>
      </w:r>
      <w:r>
        <w:rPr>
          <w:rFonts w:hint="eastAsia" w:ascii="宋体" w:hAnsi="宋体" w:eastAsia="宋体" w:cs="宋体"/>
          <w:color w:val="000000" w:themeColor="text1"/>
          <w:kern w:val="0"/>
          <w:szCs w:val="21"/>
          <w14:textFill>
            <w14:solidFill>
              <w14:schemeClr w14:val="tx1"/>
            </w14:solidFill>
          </w14:textFill>
        </w:rPr>
        <w:t>。</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2.本项目资格审查方式：资格后审。</w:t>
      </w:r>
    </w:p>
    <w:p>
      <w:pPr>
        <w:pStyle w:val="6"/>
        <w:keepNext w:val="0"/>
        <w:keepLines w:val="0"/>
        <w:pageBreakBefore w:val="0"/>
        <w:widowControl/>
        <w:kinsoku/>
        <w:wordWrap/>
        <w:overflowPunct/>
        <w:topLinePunct w:val="0"/>
        <w:autoSpaceDE/>
        <w:autoSpaceDN/>
        <w:bidi w:val="0"/>
        <w:adjustRightInd/>
        <w:snapToGrid/>
        <w:spacing w:before="0" w:after="0" w:line="360" w:lineRule="auto"/>
        <w:ind w:leftChars="0" w:firstLine="643" w:firstLineChars="200"/>
        <w:textAlignment w:val="auto"/>
        <w:rPr>
          <w:rFonts w:hint="eastAsia" w:ascii="宋体" w:hAnsi="宋体" w:cs="宋体"/>
        </w:rPr>
      </w:pPr>
      <w:bookmarkStart w:id="174" w:name="_Toc18384"/>
      <w:bookmarkStart w:id="175" w:name="_Toc4045"/>
      <w:bookmarkStart w:id="176" w:name="_Toc13159"/>
      <w:bookmarkStart w:id="177" w:name="_Toc4481"/>
      <w:bookmarkStart w:id="178" w:name="_Toc5165"/>
      <w:bookmarkStart w:id="179" w:name="_Toc16731"/>
      <w:bookmarkStart w:id="180" w:name="_Toc25568"/>
      <w:bookmarkStart w:id="181" w:name="_Toc23114"/>
      <w:bookmarkStart w:id="182" w:name="_Toc30461"/>
      <w:bookmarkStart w:id="183" w:name="_Toc7548"/>
      <w:bookmarkStart w:id="184" w:name="_Toc32140"/>
      <w:bookmarkStart w:id="185" w:name="_Toc15215"/>
      <w:r>
        <w:rPr>
          <w:rFonts w:hint="eastAsia" w:ascii="宋体" w:hAnsi="宋体" w:cs="宋体"/>
        </w:rPr>
        <w:t>十四、公告发布范围</w:t>
      </w:r>
      <w:bookmarkEnd w:id="174"/>
      <w:bookmarkEnd w:id="175"/>
      <w:bookmarkEnd w:id="176"/>
      <w:bookmarkEnd w:id="177"/>
      <w:bookmarkEnd w:id="178"/>
      <w:bookmarkEnd w:id="179"/>
      <w:bookmarkEnd w:id="180"/>
      <w:bookmarkEnd w:id="181"/>
      <w:bookmarkEnd w:id="182"/>
      <w:bookmarkEnd w:id="183"/>
      <w:bookmarkEnd w:id="184"/>
      <w:bookmarkEnd w:id="185"/>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公告发布范围:</w:t>
      </w:r>
      <w:r>
        <w:rPr>
          <w:rFonts w:hint="eastAsia" w:ascii="宋体" w:hAnsi="宋体" w:eastAsia="宋体" w:cs="宋体"/>
          <w:color w:val="000000" w:themeColor="text1"/>
          <w:kern w:val="0"/>
          <w:szCs w:val="21"/>
          <w:highlight w:val="none"/>
          <w14:textFill>
            <w14:solidFill>
              <w14:schemeClr w14:val="tx1"/>
            </w14:solidFill>
          </w14:textFill>
        </w:rPr>
        <w:t xml:space="preserve"> </w:t>
      </w:r>
      <w:r>
        <w:rPr>
          <w:rFonts w:hint="eastAsia" w:ascii="宋体" w:hAnsi="宋体" w:eastAsia="宋体" w:cs="宋体"/>
          <w:color w:val="000000" w:themeColor="text1"/>
          <w:kern w:val="0"/>
          <w:szCs w:val="21"/>
          <w:highlight w:val="none"/>
          <w:lang w:val="en-US" w:eastAsia="zh-CN"/>
          <w14:textFill>
            <w14:solidFill>
              <w14:schemeClr w14:val="tx1"/>
            </w14:solidFill>
          </w14:textFill>
        </w:rPr>
        <w:t>浙江亿利达风机股份有限公司官网（http://www.yilida.com/）</w:t>
      </w:r>
      <w:r>
        <w:rPr>
          <w:rFonts w:hint="eastAsia" w:ascii="宋体" w:hAnsi="宋体" w:eastAsia="宋体" w:cs="宋体"/>
          <w:color w:val="000000" w:themeColor="text1"/>
          <w:kern w:val="0"/>
          <w:szCs w:val="21"/>
          <w14:textFill>
            <w14:solidFill>
              <w14:schemeClr w14:val="tx1"/>
            </w14:solidFill>
          </w14:textFill>
        </w:rPr>
        <w:t xml:space="preserve">。 </w:t>
      </w:r>
    </w:p>
    <w:p>
      <w:pPr>
        <w:pStyle w:val="6"/>
        <w:keepNext w:val="0"/>
        <w:keepLines w:val="0"/>
        <w:pageBreakBefore w:val="0"/>
        <w:widowControl/>
        <w:kinsoku/>
        <w:wordWrap/>
        <w:overflowPunct/>
        <w:topLinePunct w:val="0"/>
        <w:autoSpaceDE/>
        <w:autoSpaceDN/>
        <w:bidi w:val="0"/>
        <w:adjustRightInd/>
        <w:snapToGrid/>
        <w:spacing w:before="0" w:after="0" w:line="360" w:lineRule="auto"/>
        <w:ind w:leftChars="0" w:firstLine="643" w:firstLineChars="200"/>
        <w:jc w:val="both"/>
        <w:textAlignment w:val="auto"/>
        <w:rPr>
          <w:rFonts w:hint="eastAsia" w:ascii="宋体" w:hAnsi="宋体" w:eastAsia="宋体" w:cs="宋体"/>
        </w:rPr>
      </w:pPr>
      <w:bookmarkStart w:id="186" w:name="_Toc19224"/>
      <w:bookmarkStart w:id="187" w:name="_Toc31344"/>
      <w:bookmarkStart w:id="188" w:name="_Toc18773"/>
      <w:bookmarkStart w:id="189" w:name="_Toc8938"/>
      <w:bookmarkStart w:id="190" w:name="_Toc25228"/>
      <w:bookmarkStart w:id="191" w:name="_Toc6889"/>
      <w:bookmarkStart w:id="192" w:name="_Toc21474"/>
      <w:bookmarkStart w:id="193" w:name="_Toc16439"/>
      <w:bookmarkStart w:id="194" w:name="_Toc21630"/>
      <w:bookmarkStart w:id="195" w:name="_Toc4624"/>
      <w:bookmarkStart w:id="196" w:name="_Toc10831"/>
      <w:bookmarkStart w:id="197" w:name="_Toc6673"/>
      <w:r>
        <w:rPr>
          <w:rFonts w:hint="eastAsia" w:ascii="宋体" w:hAnsi="宋体" w:eastAsia="宋体" w:cs="宋体"/>
        </w:rPr>
        <w:t>十五、联系方式</w:t>
      </w:r>
      <w:bookmarkEnd w:id="186"/>
      <w:bookmarkEnd w:id="187"/>
      <w:bookmarkEnd w:id="188"/>
      <w:bookmarkEnd w:id="189"/>
      <w:bookmarkEnd w:id="190"/>
      <w:bookmarkEnd w:id="191"/>
      <w:bookmarkEnd w:id="192"/>
      <w:bookmarkEnd w:id="193"/>
      <w:bookmarkEnd w:id="194"/>
      <w:bookmarkEnd w:id="195"/>
      <w:bookmarkEnd w:id="196"/>
      <w:bookmarkEnd w:id="197"/>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b w:val="0"/>
          <w:bCs/>
          <w:color w:val="000000" w:themeColor="text1"/>
          <w:kern w:val="0"/>
          <w:szCs w:val="21"/>
          <w14:textFill>
            <w14:solidFill>
              <w14:schemeClr w14:val="tx1"/>
            </w14:solidFill>
          </w14:textFill>
        </w:rPr>
      </w:pPr>
      <w:r>
        <w:rPr>
          <w:rFonts w:hint="eastAsia" w:ascii="宋体" w:hAnsi="宋体" w:eastAsia="宋体" w:cs="宋体"/>
          <w:b w:val="0"/>
          <w:bCs/>
          <w:color w:val="000000" w:themeColor="text1"/>
          <w:kern w:val="0"/>
          <w:szCs w:val="21"/>
          <w14:textFill>
            <w14:solidFill>
              <w14:schemeClr w14:val="tx1"/>
            </w14:solidFill>
          </w14:textFill>
        </w:rPr>
        <w:t>1</w:t>
      </w:r>
      <w:r>
        <w:rPr>
          <w:rFonts w:hint="eastAsia" w:ascii="宋体" w:hAnsi="宋体" w:eastAsia="宋体" w:cs="宋体"/>
          <w:b w:val="0"/>
          <w:bCs/>
          <w:color w:val="000000" w:themeColor="text1"/>
          <w:kern w:val="0"/>
          <w:szCs w:val="21"/>
          <w:lang w:eastAsia="zh-CN"/>
          <w14:textFill>
            <w14:solidFill>
              <w14:schemeClr w14:val="tx1"/>
            </w14:solidFill>
          </w14:textFill>
        </w:rPr>
        <w:t>.</w:t>
      </w:r>
      <w:r>
        <w:rPr>
          <w:rFonts w:hint="eastAsia" w:ascii="宋体" w:hAnsi="宋体" w:eastAsia="宋体" w:cs="宋体"/>
          <w:b w:val="0"/>
          <w:bCs/>
          <w:color w:val="000000" w:themeColor="text1"/>
          <w:kern w:val="0"/>
          <w:szCs w:val="21"/>
          <w14:textFill>
            <w14:solidFill>
              <w14:schemeClr w14:val="tx1"/>
            </w14:solidFill>
          </w14:textFill>
        </w:rPr>
        <w:t>招标人联系方式：</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招标</w:t>
      </w:r>
      <w:r>
        <w:rPr>
          <w:rFonts w:hint="eastAsia" w:ascii="宋体" w:hAnsi="宋体" w:eastAsia="宋体" w:cs="宋体"/>
          <w:color w:val="000000" w:themeColor="text1"/>
          <w:kern w:val="0"/>
          <w:szCs w:val="21"/>
          <w:lang w:val="en-US" w:eastAsia="zh-CN"/>
          <w14:textFill>
            <w14:solidFill>
              <w14:schemeClr w14:val="tx1"/>
            </w14:solidFill>
          </w14:textFill>
        </w:rPr>
        <w:t>联系</w:t>
      </w:r>
      <w:r>
        <w:rPr>
          <w:rFonts w:hint="eastAsia" w:ascii="宋体" w:hAnsi="宋体" w:eastAsia="宋体" w:cs="宋体"/>
          <w:color w:val="000000" w:themeColor="text1"/>
          <w:kern w:val="0"/>
          <w:szCs w:val="21"/>
          <w14:textFill>
            <w14:solidFill>
              <w14:schemeClr w14:val="tx1"/>
            </w14:solidFill>
          </w14:textFill>
        </w:rPr>
        <w:t>单位名称:</w:t>
      </w:r>
      <w:r>
        <w:rPr>
          <w:rFonts w:hint="eastAsia" w:ascii="宋体" w:hAnsi="宋体" w:eastAsia="宋体" w:cs="宋体"/>
          <w:color w:val="000000" w:themeColor="text1"/>
          <w:kern w:val="0"/>
          <w:szCs w:val="21"/>
          <w:lang w:val="en-US" w:eastAsia="zh-CN"/>
          <w14:textFill>
            <w14:solidFill>
              <w14:schemeClr w14:val="tx1"/>
            </w14:solidFill>
          </w14:textFill>
        </w:rPr>
        <w:t>浙江亿利达风机股份有限公司</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地址：浙江省台州</w:t>
      </w:r>
      <w:r>
        <w:rPr>
          <w:rFonts w:hint="eastAsia" w:ascii="宋体" w:hAnsi="宋体" w:eastAsia="宋体" w:cs="宋体"/>
          <w:color w:val="000000" w:themeColor="text1"/>
          <w:kern w:val="0"/>
          <w:szCs w:val="21"/>
          <w:lang w:val="en-US" w:eastAsia="zh-CN"/>
          <w14:textFill>
            <w14:solidFill>
              <w14:schemeClr w14:val="tx1"/>
            </w14:solidFill>
          </w14:textFill>
        </w:rPr>
        <w:t>市路桥区横街镇亿利达路2号</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szCs w:val="21"/>
          <w:highlight w:val="yellow"/>
          <w:lang w:val="en-US" w:eastAsia="zh-CN"/>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项目联系人（询问）</w:t>
      </w:r>
      <w:r>
        <w:rPr>
          <w:rFonts w:hint="eastAsia" w:ascii="宋体" w:hAnsi="宋体" w:eastAsia="宋体" w:cs="宋体"/>
          <w:color w:val="000000" w:themeColor="text1"/>
          <w:szCs w:val="21"/>
          <w:lang w:val="en-US" w:eastAsia="zh-CN"/>
          <w14:textFill>
            <w14:solidFill>
              <w14:schemeClr w14:val="tx1"/>
            </w14:solidFill>
          </w14:textFill>
        </w:rPr>
        <w:t xml:space="preserve">/异议联系人 </w:t>
      </w:r>
      <w:r>
        <w:rPr>
          <w:rFonts w:hint="eastAsia"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szCs w:val="21"/>
          <w:lang w:val="en-US" w:eastAsia="zh-CN"/>
          <w14:textFill>
            <w14:solidFill>
              <w14:schemeClr w14:val="tx1"/>
            </w14:solidFill>
          </w14:textFill>
        </w:rPr>
        <w:t>车洁茹</w:t>
      </w:r>
    </w:p>
    <w:p>
      <w:pPr>
        <w:keepNext w:val="0"/>
        <w:keepLines w:val="0"/>
        <w:pageBreakBefore w:val="0"/>
        <w:widowControl/>
        <w:kinsoku/>
        <w:wordWrap/>
        <w:overflowPunct/>
        <w:topLinePunct w:val="0"/>
        <w:autoSpaceDE/>
        <w:autoSpaceDN/>
        <w:bidi w:val="0"/>
        <w:adjustRightInd w:val="0"/>
        <w:snapToGrid w:val="0"/>
        <w:spacing w:line="360" w:lineRule="auto"/>
        <w:ind w:leftChars="0" w:firstLine="420" w:firstLineChars="200"/>
        <w:jc w:val="both"/>
        <w:textAlignment w:val="auto"/>
        <w:rPr>
          <w:rFonts w:hint="eastAsia" w:ascii="宋体" w:hAnsi="宋体" w:eastAsia="宋体" w:cs="宋体"/>
          <w:color w:val="000000" w:themeColor="text1"/>
          <w:szCs w:val="21"/>
          <w:highlight w:val="yellow"/>
          <w:lang w:val="en-US" w:eastAsia="zh-CN"/>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项目联系方式（询问）</w:t>
      </w:r>
      <w:r>
        <w:rPr>
          <w:rFonts w:hint="eastAsia" w:ascii="宋体" w:hAnsi="宋体" w:eastAsia="宋体" w:cs="宋体"/>
          <w:color w:val="000000" w:themeColor="text1"/>
          <w:szCs w:val="21"/>
          <w:lang w:val="en-US" w:eastAsia="zh-CN"/>
          <w14:textFill>
            <w14:solidFill>
              <w14:schemeClr w14:val="tx1"/>
            </w14:solidFill>
          </w14:textFill>
        </w:rPr>
        <w:t>/异议联系方式</w:t>
      </w:r>
      <w:r>
        <w:rPr>
          <w:rFonts w:hint="eastAsia" w:ascii="宋体" w:hAnsi="宋体" w:eastAsia="宋体" w:cs="宋体"/>
          <w:color w:val="000000" w:themeColor="text1"/>
          <w:szCs w:val="21"/>
          <w14:textFill>
            <w14:solidFill>
              <w14:schemeClr w14:val="tx1"/>
            </w14:solidFill>
          </w14:textFill>
        </w:rPr>
        <w:t>：</w:t>
      </w:r>
      <w:r>
        <w:rPr>
          <w:rFonts w:hint="eastAsia" w:ascii="宋体" w:hAnsi="宋体" w:eastAsia="宋体" w:cs="宋体"/>
          <w:color w:val="000000" w:themeColor="text1"/>
          <w:szCs w:val="21"/>
          <w:lang w:val="en-US" w:eastAsia="zh-CN"/>
          <w14:textFill>
            <w14:solidFill>
              <w14:schemeClr w14:val="tx1"/>
            </w14:solidFill>
          </w14:textFill>
        </w:rPr>
        <w:t>0576-82651228</w:t>
      </w:r>
      <w:r>
        <w:rPr>
          <w:rFonts w:hint="eastAsia" w:ascii="宋体" w:hAnsi="宋体" w:eastAsia="宋体" w:cs="宋体"/>
          <w:color w:val="000000" w:themeColor="text1"/>
          <w:szCs w:val="21"/>
          <w:highlight w:val="none"/>
          <w:lang w:val="en-US" w:eastAsia="zh-CN"/>
          <w14:textFill>
            <w14:solidFill>
              <w14:schemeClr w14:val="tx1"/>
            </w14:solidFill>
          </w14:textFill>
        </w:rPr>
        <w:t xml:space="preserve">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2</w:t>
      </w:r>
      <w:bookmarkEnd w:id="15"/>
      <w:bookmarkEnd w:id="16"/>
      <w:bookmarkEnd w:id="17"/>
      <w:r>
        <w:rPr>
          <w:rFonts w:hint="eastAsia" w:ascii="宋体" w:hAnsi="宋体" w:eastAsia="宋体" w:cs="宋体"/>
          <w:color w:val="000000" w:themeColor="text1"/>
          <w:kern w:val="0"/>
          <w:szCs w:val="21"/>
          <w:lang w:eastAsia="zh-CN"/>
          <w14:textFill>
            <w14:solidFill>
              <w14:schemeClr w14:val="tx1"/>
            </w14:solidFill>
          </w14:textFill>
        </w:rPr>
        <w:t>.</w:t>
      </w:r>
      <w:r>
        <w:rPr>
          <w:rFonts w:hint="eastAsia" w:ascii="宋体" w:hAnsi="宋体" w:eastAsia="宋体" w:cs="宋体"/>
          <w:color w:val="000000" w:themeColor="text1"/>
          <w:kern w:val="0"/>
          <w:szCs w:val="21"/>
          <w:highlight w:val="none"/>
          <w14:textFill>
            <w14:solidFill>
              <w14:schemeClr w14:val="tx1"/>
            </w14:solidFill>
          </w14:textFill>
        </w:rPr>
        <w:t>招标争议</w:t>
      </w:r>
      <w:r>
        <w:rPr>
          <w:rFonts w:hint="eastAsia" w:ascii="宋体" w:hAnsi="宋体" w:eastAsia="宋体" w:cs="宋体"/>
          <w:color w:val="000000" w:themeColor="text1"/>
          <w:kern w:val="0"/>
          <w:szCs w:val="21"/>
          <w:highlight w:val="none"/>
          <w:lang w:val="en-US" w:eastAsia="zh-CN"/>
          <w14:textFill>
            <w14:solidFill>
              <w14:schemeClr w14:val="tx1"/>
            </w14:solidFill>
          </w14:textFill>
        </w:rPr>
        <w:t>监督管理</w:t>
      </w:r>
      <w:r>
        <w:rPr>
          <w:rFonts w:hint="eastAsia" w:ascii="宋体" w:hAnsi="宋体" w:eastAsia="宋体" w:cs="宋体"/>
          <w:color w:val="000000" w:themeColor="text1"/>
          <w:kern w:val="0"/>
          <w:szCs w:val="21"/>
          <w:highlight w:val="none"/>
          <w14:textFill>
            <w14:solidFill>
              <w14:schemeClr w14:val="tx1"/>
            </w14:solidFill>
          </w14:textFill>
        </w:rPr>
        <w:t>部门联系方式：</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trike/>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招标争议监督管理部门</w:t>
      </w:r>
      <w:r>
        <w:rPr>
          <w:rFonts w:hint="eastAsia" w:ascii="宋体" w:hAnsi="宋体" w:eastAsia="宋体" w:cs="宋体"/>
          <w:color w:val="000000" w:themeColor="text1"/>
          <w:kern w:val="0"/>
          <w:szCs w:val="21"/>
          <w:highlight w:val="none"/>
          <w14:textFill>
            <w14:solidFill>
              <w14:schemeClr w14:val="tx1"/>
            </w14:solidFill>
          </w14:textFill>
        </w:rPr>
        <w:t>名称：</w:t>
      </w:r>
      <w:r>
        <w:rPr>
          <w:rFonts w:hint="eastAsia" w:ascii="宋体" w:hAnsi="宋体" w:eastAsia="宋体" w:cs="宋体"/>
          <w:color w:val="000000" w:themeColor="text1"/>
          <w:kern w:val="0"/>
          <w:szCs w:val="21"/>
          <w:highlight w:val="none"/>
          <w:lang w:val="en-US" w:eastAsia="zh-CN"/>
          <w14:textFill>
            <w14:solidFill>
              <w14:schemeClr w14:val="tx1"/>
            </w14:solidFill>
          </w14:textFill>
        </w:rPr>
        <w:t>浙江亿利达风机股份有限公司纪律检查室</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highlight w:val="none"/>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 xml:space="preserve">地址：台州市路桥区横街镇亿利达路2号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联系人：</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张超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电话：</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0576-82655152 </w:t>
      </w:r>
    </w:p>
    <w:p>
      <w:pPr>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color w:val="000000" w:themeColor="text1"/>
          <w:kern w:val="0"/>
          <w:szCs w:val="21"/>
          <w:highlight w:val="none"/>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邮箱：</w:t>
      </w:r>
      <w:r>
        <w:rPr>
          <w:rFonts w:hint="eastAsia" w:ascii="宋体" w:hAnsi="宋体" w:eastAsia="宋体" w:cs="宋体"/>
          <w:color w:val="000000" w:themeColor="text1"/>
          <w:kern w:val="0"/>
          <w:szCs w:val="21"/>
          <w:highlight w:val="none"/>
          <w:lang w:val="en-US" w:eastAsia="zh-CN"/>
          <w14:textFill>
            <w14:solidFill>
              <w14:schemeClr w14:val="tx1"/>
            </w14:solidFill>
          </w14:textFill>
        </w:rPr>
        <w:fldChar w:fldCharType="begin"/>
      </w:r>
      <w:r>
        <w:rPr>
          <w:rFonts w:hint="eastAsia" w:ascii="宋体" w:hAnsi="宋体" w:eastAsia="宋体" w:cs="宋体"/>
          <w:color w:val="000000" w:themeColor="text1"/>
          <w:kern w:val="0"/>
          <w:szCs w:val="21"/>
          <w:highlight w:val="none"/>
          <w:lang w:val="en-US" w:eastAsia="zh-CN"/>
          <w14:textFill>
            <w14:solidFill>
              <w14:schemeClr w14:val="tx1"/>
            </w14:solidFill>
          </w14:textFill>
        </w:rPr>
        <w:instrText xml:space="preserve"> HYPERLINK "mailto:jjsjb@yilida.com" </w:instrText>
      </w:r>
      <w:r>
        <w:rPr>
          <w:rFonts w:hint="eastAsia" w:ascii="宋体" w:hAnsi="宋体" w:eastAsia="宋体" w:cs="宋体"/>
          <w:color w:val="000000" w:themeColor="text1"/>
          <w:kern w:val="0"/>
          <w:szCs w:val="21"/>
          <w:highlight w:val="none"/>
          <w:lang w:val="en-US" w:eastAsia="zh-CN"/>
          <w14:textFill>
            <w14:solidFill>
              <w14:schemeClr w14:val="tx1"/>
            </w14:solidFill>
          </w14:textFill>
        </w:rPr>
        <w:fldChar w:fldCharType="separate"/>
      </w:r>
      <w:r>
        <w:rPr>
          <w:rStyle w:val="54"/>
          <w:rFonts w:hint="eastAsia" w:ascii="宋体" w:hAnsi="宋体" w:eastAsia="宋体" w:cs="宋体"/>
          <w:color w:val="000000" w:themeColor="text1"/>
          <w:kern w:val="0"/>
          <w:szCs w:val="21"/>
          <w:highlight w:val="none"/>
          <w:lang w:val="en-US" w:eastAsia="zh-CN"/>
          <w14:textFill>
            <w14:solidFill>
              <w14:schemeClr w14:val="tx1"/>
            </w14:solidFill>
          </w14:textFill>
        </w:rPr>
        <w:t>jjsjb@yilida.com</w:t>
      </w:r>
      <w:r>
        <w:rPr>
          <w:rFonts w:hint="eastAsia" w:ascii="宋体" w:hAnsi="宋体" w:eastAsia="宋体" w:cs="宋体"/>
          <w:color w:val="000000" w:themeColor="text1"/>
          <w:kern w:val="0"/>
          <w:szCs w:val="21"/>
          <w:highlight w:val="none"/>
          <w:lang w:val="en-US" w:eastAsia="zh-CN"/>
          <w14:textFill>
            <w14:solidFill>
              <w14:schemeClr w14:val="tx1"/>
            </w14:solidFill>
          </w14:textFill>
        </w:rPr>
        <w:fldChar w:fldCharType="end"/>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特别说明：</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1</w:t>
      </w:r>
      <w:r>
        <w:rPr>
          <w:rFonts w:hint="eastAsia" w:ascii="宋体" w:hAnsi="宋体" w:eastAsia="宋体" w:cs="宋体"/>
          <w:b/>
          <w:color w:val="000000" w:themeColor="text1"/>
          <w:kern w:val="0"/>
          <w:szCs w:val="21"/>
          <w:lang w:eastAsia="zh-CN"/>
          <w14:textFill>
            <w14:solidFill>
              <w14:schemeClr w14:val="tx1"/>
            </w14:solidFill>
          </w14:textFill>
        </w:rPr>
        <w:t>.</w:t>
      </w:r>
      <w:r>
        <w:rPr>
          <w:rFonts w:hint="eastAsia" w:ascii="宋体" w:hAnsi="宋体" w:eastAsia="宋体" w:cs="宋体"/>
          <w:b/>
          <w:color w:val="000000" w:themeColor="text1"/>
          <w:kern w:val="0"/>
          <w:szCs w:val="21"/>
          <w14:textFill>
            <w14:solidFill>
              <w14:schemeClr w14:val="tx1"/>
            </w14:solidFill>
          </w14:textFill>
        </w:rPr>
        <w:t>由于本项目为招投标项目，在招标报价时（确定中标候选人前），项目不进行二次报价。</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2</w:t>
      </w:r>
      <w:r>
        <w:rPr>
          <w:rFonts w:hint="eastAsia" w:ascii="宋体" w:hAnsi="宋体" w:eastAsia="宋体" w:cs="宋体"/>
          <w:b/>
          <w:color w:val="000000" w:themeColor="text1"/>
          <w:kern w:val="0"/>
          <w:szCs w:val="21"/>
          <w:lang w:eastAsia="zh-CN"/>
          <w14:textFill>
            <w14:solidFill>
              <w14:schemeClr w14:val="tx1"/>
            </w14:solidFill>
          </w14:textFill>
        </w:rPr>
        <w:t>.</w:t>
      </w:r>
      <w:r>
        <w:rPr>
          <w:rFonts w:hint="eastAsia" w:ascii="宋体" w:hAnsi="宋体" w:eastAsia="宋体" w:cs="宋体"/>
          <w:b/>
          <w:color w:val="000000" w:themeColor="text1"/>
          <w:kern w:val="0"/>
          <w:szCs w:val="21"/>
          <w14:textFill>
            <w14:solidFill>
              <w14:schemeClr w14:val="tx1"/>
            </w14:solidFill>
          </w14:textFill>
        </w:rPr>
        <w:t>因此项目为企业</w:t>
      </w:r>
      <w:r>
        <w:rPr>
          <w:rFonts w:hint="eastAsia" w:ascii="宋体" w:hAnsi="宋体" w:eastAsia="宋体" w:cs="宋体"/>
          <w:b/>
          <w:color w:val="000000" w:themeColor="text1"/>
          <w:kern w:val="0"/>
          <w:szCs w:val="21"/>
          <w:lang w:val="en-US" w:eastAsia="zh-CN"/>
          <w14:textFill>
            <w14:solidFill>
              <w14:schemeClr w14:val="tx1"/>
            </w14:solidFill>
          </w14:textFill>
        </w:rPr>
        <w:t>服务</w:t>
      </w:r>
      <w:r>
        <w:rPr>
          <w:rFonts w:hint="eastAsia" w:ascii="宋体" w:hAnsi="宋体" w:eastAsia="宋体" w:cs="宋体"/>
          <w:b/>
          <w:color w:val="000000" w:themeColor="text1"/>
          <w:kern w:val="0"/>
          <w:szCs w:val="21"/>
          <w14:textFill>
            <w14:solidFill>
              <w14:schemeClr w14:val="tx1"/>
            </w14:solidFill>
          </w14:textFill>
        </w:rPr>
        <w:t>性项目，</w:t>
      </w:r>
      <w:r>
        <w:rPr>
          <w:rFonts w:hint="eastAsia" w:ascii="宋体" w:hAnsi="宋体" w:eastAsia="宋体" w:cs="宋体"/>
          <w:b/>
          <w:color w:val="000000" w:themeColor="text1"/>
          <w:kern w:val="0"/>
          <w:szCs w:val="21"/>
          <w:lang w:val="en-US" w:eastAsia="zh-CN"/>
          <w14:textFill>
            <w14:solidFill>
              <w14:schemeClr w14:val="tx1"/>
            </w14:solidFill>
          </w14:textFill>
        </w:rPr>
        <w:t>招标设二轮议标程序，</w:t>
      </w:r>
      <w:r>
        <w:rPr>
          <w:rFonts w:hint="eastAsia" w:ascii="宋体" w:hAnsi="宋体" w:eastAsia="宋体" w:cs="宋体"/>
          <w:b/>
          <w:color w:val="000000" w:themeColor="text1"/>
          <w:kern w:val="0"/>
          <w:szCs w:val="21"/>
          <w14:textFill>
            <w14:solidFill>
              <w14:schemeClr w14:val="tx1"/>
            </w14:solidFill>
          </w14:textFill>
        </w:rPr>
        <w:t>在项目确定中标</w:t>
      </w:r>
      <w:r>
        <w:rPr>
          <w:rFonts w:hint="eastAsia" w:ascii="宋体" w:hAnsi="宋体" w:eastAsia="宋体" w:cs="宋体"/>
          <w:b/>
          <w:color w:val="000000" w:themeColor="text1"/>
          <w:kern w:val="0"/>
          <w:szCs w:val="21"/>
          <w:lang w:val="en-US" w:eastAsia="zh-CN"/>
          <w14:textFill>
            <w14:solidFill>
              <w14:schemeClr w14:val="tx1"/>
            </w14:solidFill>
          </w14:textFill>
        </w:rPr>
        <w:t>候选人</w:t>
      </w:r>
      <w:r>
        <w:rPr>
          <w:rFonts w:hint="eastAsia" w:ascii="宋体" w:hAnsi="宋体" w:eastAsia="宋体" w:cs="宋体"/>
          <w:b/>
          <w:color w:val="000000" w:themeColor="text1"/>
          <w:kern w:val="0"/>
          <w:szCs w:val="21"/>
          <w14:textFill>
            <w14:solidFill>
              <w14:schemeClr w14:val="tx1"/>
            </w14:solidFill>
          </w14:textFill>
        </w:rPr>
        <w:t>后，招标人将</w:t>
      </w:r>
      <w:r>
        <w:rPr>
          <w:rFonts w:hint="eastAsia" w:ascii="宋体" w:hAnsi="宋体" w:eastAsia="宋体" w:cs="宋体"/>
          <w:b/>
          <w:color w:val="000000" w:themeColor="text1"/>
          <w:kern w:val="0"/>
          <w:szCs w:val="21"/>
          <w:lang w:val="en-US" w:eastAsia="zh-CN"/>
          <w14:textFill>
            <w14:solidFill>
              <w14:schemeClr w14:val="tx1"/>
            </w14:solidFill>
          </w14:textFill>
        </w:rPr>
        <w:t>与</w:t>
      </w:r>
      <w:r>
        <w:rPr>
          <w:rFonts w:hint="eastAsia" w:ascii="宋体" w:hAnsi="宋体" w:eastAsia="宋体" w:cs="宋体"/>
          <w:b/>
          <w:color w:val="000000" w:themeColor="text1"/>
          <w:kern w:val="0"/>
          <w:szCs w:val="21"/>
          <w14:textFill>
            <w14:solidFill>
              <w14:schemeClr w14:val="tx1"/>
            </w14:solidFill>
          </w14:textFill>
        </w:rPr>
        <w:t>排名</w:t>
      </w:r>
      <w:r>
        <w:rPr>
          <w:rFonts w:hint="eastAsia" w:ascii="宋体" w:hAnsi="宋体" w:eastAsia="宋体" w:cs="宋体"/>
          <w:b/>
          <w:color w:val="000000" w:themeColor="text1"/>
          <w:kern w:val="0"/>
          <w:szCs w:val="21"/>
          <w:lang w:val="en-US" w:eastAsia="zh-CN"/>
          <w14:textFill>
            <w14:solidFill>
              <w14:schemeClr w14:val="tx1"/>
            </w14:solidFill>
          </w14:textFill>
        </w:rPr>
        <w:t>前三</w:t>
      </w:r>
      <w:r>
        <w:rPr>
          <w:rFonts w:hint="eastAsia" w:ascii="宋体" w:hAnsi="宋体" w:eastAsia="宋体" w:cs="宋体"/>
          <w:b/>
          <w:color w:val="000000" w:themeColor="text1"/>
          <w:kern w:val="0"/>
          <w:szCs w:val="21"/>
          <w14:textFill>
            <w14:solidFill>
              <w14:schemeClr w14:val="tx1"/>
            </w14:solidFill>
          </w14:textFill>
        </w:rPr>
        <w:t>的中标候选人就投标价格、投标方案等实质性内容进行谈判。如谈判失败，则视同中标候选人放弃中标资格，招标人将转而与排名第</w:t>
      </w:r>
      <w:r>
        <w:rPr>
          <w:rFonts w:hint="eastAsia" w:ascii="宋体" w:hAnsi="宋体" w:eastAsia="宋体" w:cs="宋体"/>
          <w:b/>
          <w:color w:val="000000" w:themeColor="text1"/>
          <w:kern w:val="0"/>
          <w:szCs w:val="21"/>
          <w:lang w:val="en-US" w:eastAsia="zh-CN"/>
          <w14:textFill>
            <w14:solidFill>
              <w14:schemeClr w14:val="tx1"/>
            </w14:solidFill>
          </w14:textFill>
        </w:rPr>
        <w:t>四</w:t>
      </w:r>
      <w:r>
        <w:rPr>
          <w:rFonts w:hint="eastAsia" w:ascii="宋体" w:hAnsi="宋体" w:eastAsia="宋体" w:cs="宋体"/>
          <w:b/>
          <w:color w:val="000000" w:themeColor="text1"/>
          <w:kern w:val="0"/>
          <w:szCs w:val="21"/>
          <w14:textFill>
            <w14:solidFill>
              <w14:schemeClr w14:val="tx1"/>
            </w14:solidFill>
          </w14:textFill>
        </w:rPr>
        <w:t>的中标候选人进行谈判，以此类推。</w:t>
      </w:r>
    </w:p>
    <w:p>
      <w:pPr>
        <w:keepNext w:val="0"/>
        <w:keepLines w:val="0"/>
        <w:pageBreakBefore w:val="0"/>
        <w:widowControl/>
        <w:kinsoku/>
        <w:wordWrap/>
        <w:overflowPunct/>
        <w:topLinePunct w:val="0"/>
        <w:autoSpaceDE/>
        <w:autoSpaceDN/>
        <w:bidi w:val="0"/>
        <w:adjustRightInd w:val="0"/>
        <w:snapToGrid w:val="0"/>
        <w:spacing w:line="360" w:lineRule="auto"/>
        <w:ind w:firstLine="422" w:firstLineChars="200"/>
        <w:jc w:val="both"/>
        <w:textAlignment w:val="auto"/>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b/>
          <w:color w:val="000000" w:themeColor="text1"/>
          <w:kern w:val="0"/>
          <w:szCs w:val="21"/>
          <w14:textFill>
            <w14:solidFill>
              <w14:schemeClr w14:val="tx1"/>
            </w14:solidFill>
          </w14:textFill>
        </w:rPr>
        <w:t>3</w:t>
      </w:r>
      <w:r>
        <w:rPr>
          <w:rFonts w:hint="eastAsia" w:ascii="宋体" w:hAnsi="宋体" w:eastAsia="宋体" w:cs="宋体"/>
          <w:b/>
          <w:color w:val="000000" w:themeColor="text1"/>
          <w:kern w:val="0"/>
          <w:szCs w:val="21"/>
          <w:lang w:eastAsia="zh-CN"/>
          <w14:textFill>
            <w14:solidFill>
              <w14:schemeClr w14:val="tx1"/>
            </w14:solidFill>
          </w14:textFill>
        </w:rPr>
        <w:t>.</w:t>
      </w:r>
      <w:r>
        <w:rPr>
          <w:rFonts w:hint="eastAsia" w:ascii="宋体" w:hAnsi="宋体" w:eastAsia="宋体" w:cs="宋体"/>
          <w:b/>
          <w:color w:val="000000" w:themeColor="text1"/>
          <w:kern w:val="0"/>
          <w:szCs w:val="21"/>
          <w14:textFill>
            <w14:solidFill>
              <w14:schemeClr w14:val="tx1"/>
            </w14:solidFill>
          </w14:textFill>
        </w:rPr>
        <w:t>如有疑问请及时与招标人联系。</w:t>
      </w:r>
    </w:p>
    <w:p>
      <w:pPr>
        <w:pStyle w:val="34"/>
        <w:spacing w:line="360" w:lineRule="auto"/>
        <w:jc w:val="both"/>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5"/>
        <w:bidi w:val="0"/>
        <w:jc w:val="center"/>
        <w:rPr>
          <w:rFonts w:hint="eastAsia" w:ascii="黑体" w:hAnsi="黑体" w:cs="黑体"/>
        </w:rPr>
      </w:pPr>
      <w:bookmarkStart w:id="198" w:name="_Toc7055"/>
      <w:bookmarkStart w:id="199" w:name="_Toc19820"/>
      <w:bookmarkStart w:id="200" w:name="_Toc6475"/>
      <w:bookmarkStart w:id="201" w:name="_Toc17815"/>
      <w:bookmarkStart w:id="202" w:name="_Toc19781"/>
      <w:bookmarkStart w:id="203" w:name="_Toc107822483"/>
      <w:bookmarkStart w:id="204" w:name="_Toc10028"/>
      <w:bookmarkStart w:id="205" w:name="_Toc20516"/>
      <w:bookmarkStart w:id="206" w:name="_Toc227057883"/>
      <w:bookmarkStart w:id="207" w:name="_Toc8418"/>
      <w:bookmarkStart w:id="208" w:name="_Toc19573"/>
      <w:bookmarkStart w:id="209" w:name="_Toc18648"/>
      <w:bookmarkStart w:id="210" w:name="_Toc19096"/>
      <w:bookmarkStart w:id="211" w:name="_Toc226969276"/>
      <w:bookmarkStart w:id="212" w:name="_Toc3119"/>
      <w:r>
        <w:rPr>
          <w:rFonts w:hint="eastAsia" w:ascii="黑体" w:hAnsi="黑体" w:cs="黑体"/>
        </w:rPr>
        <w:t>第二章  投标人须知</w:t>
      </w:r>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pPr>
        <w:pStyle w:val="6"/>
        <w:bidi w:val="0"/>
        <w:ind w:firstLine="643"/>
        <w:rPr>
          <w:rFonts w:hint="eastAsia" w:ascii="宋体" w:hAnsi="宋体" w:cs="宋体"/>
        </w:rPr>
      </w:pPr>
      <w:bookmarkStart w:id="213" w:name="_Toc6352"/>
      <w:bookmarkStart w:id="214" w:name="_Toc12625"/>
      <w:bookmarkStart w:id="215" w:name="_Toc227057884"/>
      <w:bookmarkStart w:id="216" w:name="_Toc226969277"/>
      <w:bookmarkStart w:id="217" w:name="_Toc5998"/>
      <w:bookmarkStart w:id="218" w:name="_Toc21886"/>
      <w:bookmarkStart w:id="219" w:name="_Toc29465"/>
      <w:bookmarkStart w:id="220" w:name="_Toc17322"/>
      <w:bookmarkStart w:id="221" w:name="_Toc5137"/>
      <w:bookmarkStart w:id="222" w:name="_Toc2625"/>
      <w:bookmarkStart w:id="223" w:name="_Toc4931"/>
      <w:bookmarkStart w:id="224" w:name="_Toc18179"/>
      <w:bookmarkStart w:id="225" w:name="_Toc12428"/>
      <w:bookmarkStart w:id="226" w:name="_Toc11694"/>
      <w:r>
        <w:rPr>
          <w:rFonts w:hint="eastAsia" w:ascii="宋体" w:hAnsi="宋体" w:cs="宋体"/>
        </w:rPr>
        <w:t>投标人须知前附表</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tbl>
      <w:tblPr>
        <w:tblStyle w:val="48"/>
        <w:tblW w:w="8831"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48"/>
        <w:gridCol w:w="1800"/>
        <w:gridCol w:w="6383"/>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cantSplit/>
          <w:trHeight w:val="431" w:hRule="atLeast"/>
          <w:tblHeader/>
          <w:jc w:val="center"/>
        </w:trPr>
        <w:tc>
          <w:tcPr>
            <w:tcW w:w="648" w:type="dxa"/>
            <w:vAlign w:val="center"/>
          </w:tcPr>
          <w:p>
            <w:pPr>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序号</w:t>
            </w:r>
          </w:p>
        </w:tc>
        <w:tc>
          <w:tcPr>
            <w:tcW w:w="1800" w:type="dxa"/>
            <w:vAlign w:val="center"/>
          </w:tcPr>
          <w:p>
            <w:pPr>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项   目</w:t>
            </w:r>
          </w:p>
        </w:tc>
        <w:tc>
          <w:tcPr>
            <w:tcW w:w="6383" w:type="dxa"/>
            <w:vAlign w:val="center"/>
          </w:tcPr>
          <w:p>
            <w:pPr>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内       容</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9"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项目名称</w:t>
            </w:r>
          </w:p>
        </w:tc>
        <w:tc>
          <w:tcPr>
            <w:tcW w:w="6383" w:type="dxa"/>
            <w:vAlign w:val="center"/>
          </w:tcPr>
          <w:p>
            <w:pPr>
              <w:adjustRightInd w:val="0"/>
              <w:snapToGrid w:val="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亿利达疗休养服务采购项目招标文件</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项目地点</w:t>
            </w:r>
          </w:p>
        </w:tc>
        <w:tc>
          <w:tcPr>
            <w:tcW w:w="6383" w:type="dxa"/>
            <w:vAlign w:val="center"/>
          </w:tcPr>
          <w:p>
            <w:pPr>
              <w:adjustRightInd w:val="0"/>
              <w:snapToGrid w:val="0"/>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lang w:val="en-US" w:eastAsia="zh-CN"/>
                <w14:textFill>
                  <w14:solidFill>
                    <w14:schemeClr w14:val="tx1"/>
                  </w14:solidFill>
                </w14:textFill>
              </w:rPr>
              <w:t>浙江亿利达风机股份有限公司</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项目编号</w:t>
            </w:r>
          </w:p>
        </w:tc>
        <w:tc>
          <w:tcPr>
            <w:tcW w:w="6383" w:type="dxa"/>
            <w:vAlign w:val="center"/>
          </w:tcPr>
          <w:p>
            <w:pPr>
              <w:adjustRightInd w:val="0"/>
              <w:snapToGrid w:val="0"/>
              <w:rPr>
                <w:rFonts w:hint="eastAsia"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eastAsia="宋体" w:cs="宋体"/>
                <w:color w:val="000000" w:themeColor="text1"/>
                <w:kern w:val="0"/>
                <w:szCs w:val="21"/>
                <w:highlight w:val="none"/>
                <w:lang w:val="en-US" w:eastAsia="zh-CN"/>
                <w14:textFill>
                  <w14:solidFill>
                    <w14:schemeClr w14:val="tx1"/>
                  </w14:solidFill>
                </w14:textFill>
              </w:rPr>
              <w:t>YLD-ZB-20240403</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75"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招标方式</w:t>
            </w:r>
          </w:p>
        </w:tc>
        <w:tc>
          <w:tcPr>
            <w:tcW w:w="6383" w:type="dxa"/>
            <w:vAlign w:val="center"/>
          </w:tcPr>
          <w:p>
            <w:pPr>
              <w:adjustRightInd w:val="0"/>
              <w:snapToGrid w:val="0"/>
              <w:rPr>
                <w:rFonts w:hint="eastAsia" w:ascii="宋体" w:hAnsi="宋体" w:eastAsia="宋体" w:cs="宋体"/>
                <w:bCs/>
                <w:color w:val="000000" w:themeColor="text1"/>
                <w:szCs w:val="21"/>
                <w14:textFill>
                  <w14:solidFill>
                    <w14:schemeClr w14:val="tx1"/>
                  </w14:solidFill>
                </w14:textFill>
              </w:rPr>
            </w:pPr>
            <w:r>
              <w:rPr>
                <w:rFonts w:hint="eastAsia" w:ascii="宋体" w:hAnsi="宋体" w:eastAsia="宋体" w:cs="宋体"/>
                <w:bCs/>
                <w:color w:val="000000" w:themeColor="text1"/>
                <w:szCs w:val="21"/>
                <w:lang w:val="en-US" w:eastAsia="zh-CN"/>
                <w14:textFill>
                  <w14:solidFill>
                    <w14:schemeClr w14:val="tx1"/>
                  </w14:solidFill>
                </w14:textFill>
              </w:rPr>
              <w:t>公开</w:t>
            </w:r>
            <w:r>
              <w:rPr>
                <w:rFonts w:hint="eastAsia" w:ascii="宋体" w:hAnsi="宋体" w:eastAsia="宋体" w:cs="宋体"/>
                <w:bCs/>
                <w:color w:val="000000" w:themeColor="text1"/>
                <w:szCs w:val="21"/>
                <w14:textFill>
                  <w14:solidFill>
                    <w14:schemeClr w14:val="tx1"/>
                  </w14:solidFill>
                </w14:textFill>
              </w:rPr>
              <w:t>招标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14"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5</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招标内容</w:t>
            </w:r>
          </w:p>
        </w:tc>
        <w:tc>
          <w:tcPr>
            <w:tcW w:w="6383" w:type="dxa"/>
            <w:vAlign w:val="center"/>
          </w:tcPr>
          <w:p>
            <w:pPr>
              <w:adjustRightInd w:val="0"/>
              <w:snapToGrid w:val="0"/>
              <w:rPr>
                <w:rFonts w:hint="eastAsia" w:ascii="宋体" w:hAnsi="宋体" w:eastAsia="宋体" w:cs="宋体"/>
                <w:bCs/>
                <w:color w:val="000000" w:themeColor="text1"/>
                <w:kern w:val="0"/>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详见招标文件用户需求。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9"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6</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实施周期</w:t>
            </w:r>
          </w:p>
        </w:tc>
        <w:tc>
          <w:tcPr>
            <w:tcW w:w="6383" w:type="dxa"/>
            <w:vAlign w:val="center"/>
          </w:tcPr>
          <w:p>
            <w:pPr>
              <w:adjustRightInd w:val="0"/>
              <w:snapToGrid w:val="0"/>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highlight w:val="none"/>
                <w14:textFill>
                  <w14:solidFill>
                    <w14:schemeClr w14:val="tx1"/>
                  </w14:solidFill>
                </w14:textFill>
              </w:rPr>
              <w:t>合同签订后</w:t>
            </w:r>
            <w:r>
              <w:rPr>
                <w:rFonts w:hint="eastAsia" w:ascii="宋体" w:hAnsi="宋体" w:eastAsia="宋体" w:cs="宋体"/>
                <w:color w:val="000000" w:themeColor="text1"/>
                <w:kern w:val="0"/>
                <w:szCs w:val="21"/>
                <w:highlight w:val="none"/>
                <w:lang w:val="en-US" w:eastAsia="zh-CN"/>
                <w14:textFill>
                  <w14:solidFill>
                    <w14:schemeClr w14:val="tx1"/>
                  </w14:solidFill>
                </w14:textFill>
              </w:rPr>
              <w:t>120 个工作日内实施完毕，</w:t>
            </w:r>
            <w:r>
              <w:rPr>
                <w:rFonts w:hint="eastAsia" w:ascii="宋体" w:hAnsi="宋体" w:eastAsia="宋体" w:cs="宋体"/>
                <w:color w:val="000000" w:themeColor="text1"/>
                <w:kern w:val="0"/>
                <w:szCs w:val="21"/>
                <w:lang w:val="en-US" w:eastAsia="zh-CN"/>
                <w14:textFill>
                  <w14:solidFill>
                    <w14:schemeClr w14:val="tx1"/>
                  </w14:solidFill>
                </w14:textFill>
              </w:rPr>
              <w:t>具体详见“第四章 用户需求”</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7</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资金来源</w:t>
            </w:r>
          </w:p>
        </w:tc>
        <w:tc>
          <w:tcPr>
            <w:tcW w:w="6383" w:type="dxa"/>
            <w:vAlign w:val="center"/>
          </w:tcPr>
          <w:p>
            <w:pPr>
              <w:adjustRightInd w:val="0"/>
              <w:snapToGrid w:val="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自有资金</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20"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8</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招标预算</w:t>
            </w:r>
          </w:p>
        </w:tc>
        <w:tc>
          <w:tcPr>
            <w:tcW w:w="6383" w:type="dxa"/>
            <w:vAlign w:val="center"/>
          </w:tcPr>
          <w:p>
            <w:pPr>
              <w:adjustRightInd w:val="0"/>
              <w:snapToGrid w:val="0"/>
              <w:rPr>
                <w:rFonts w:hint="eastAsia" w:ascii="宋体" w:hAnsi="宋体" w:eastAsia="宋体" w:cs="宋体"/>
                <w:snapToGrid w:val="0"/>
                <w:color w:val="000000" w:themeColor="text1"/>
                <w:kern w:val="0"/>
                <w:szCs w:val="21"/>
                <w:lang w:val="en-US" w:eastAsia="zh-CN"/>
                <w14:textFill>
                  <w14:solidFill>
                    <w14:schemeClr w14:val="tx1"/>
                  </w14:solidFill>
                </w14:textFill>
              </w:rPr>
            </w:pP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最高限价：部分线路设最高限价，高于最高限价的线路将被拒绝。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86"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9</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资格审查方式</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资格后审。</w:t>
            </w:r>
          </w:p>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资格后审是指在开标后由评标委员会根据招标文件的规定对投标人进行的资格审查，资格后审不合格的投标人，由评标委员会对其投标作无效标处理。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10</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投标保证金</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见</w:t>
            </w:r>
            <w:r>
              <w:rPr>
                <w:rFonts w:hint="eastAsia" w:ascii="宋体" w:hAnsi="宋体" w:eastAsia="宋体" w:cs="宋体"/>
                <w:color w:val="000000" w:themeColor="text1"/>
                <w:kern w:val="0"/>
                <w:szCs w:val="21"/>
                <w:lang w:val="en-US" w:eastAsia="zh-CN"/>
                <w14:textFill>
                  <w14:solidFill>
                    <w14:schemeClr w14:val="tx1"/>
                  </w14:solidFill>
                </w14:textFill>
              </w:rPr>
              <w:t>招标公告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93"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11</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踏勘现场</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不集中组织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433"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12</w:t>
            </w:r>
          </w:p>
        </w:tc>
        <w:tc>
          <w:tcPr>
            <w:tcW w:w="1800" w:type="dxa"/>
            <w:vAlign w:val="center"/>
          </w:tcPr>
          <w:p>
            <w:pPr>
              <w:adjustRightInd w:val="0"/>
              <w:snapToGrid w:val="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投标答疑</w:t>
            </w:r>
          </w:p>
        </w:tc>
        <w:tc>
          <w:tcPr>
            <w:tcW w:w="6383" w:type="dxa"/>
            <w:vAlign w:val="center"/>
          </w:tcPr>
          <w:p>
            <w:pPr>
              <w:adjustRightInd w:val="0"/>
              <w:snapToGrid w:val="0"/>
              <w:rPr>
                <w:rFonts w:hint="eastAsia" w:ascii="宋体" w:hAnsi="宋体" w:eastAsia="宋体" w:cs="宋体"/>
                <w:color w:val="000000" w:themeColor="text1"/>
                <w:szCs w:val="21"/>
                <w:lang w:val="zh-CN"/>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投标人如认为招标文件表述不清晰、存在歧视性或者倾向性或者其他违法内容的，必</w:t>
            </w:r>
            <w:r>
              <w:rPr>
                <w:rFonts w:hint="eastAsia" w:ascii="宋体" w:hAnsi="宋体" w:eastAsia="宋体" w:cs="宋体"/>
                <w:color w:val="000000" w:themeColor="text1"/>
                <w:szCs w:val="21"/>
                <w:highlight w:val="none"/>
                <w14:textFill>
                  <w14:solidFill>
                    <w14:schemeClr w14:val="tx1"/>
                  </w14:solidFill>
                </w14:textFill>
              </w:rPr>
              <w:t>须在</w:t>
            </w:r>
            <w:r>
              <w:rPr>
                <w:rFonts w:hint="eastAsia" w:ascii="宋体" w:hAnsi="宋体" w:eastAsia="宋体" w:cs="宋体"/>
                <w:color w:val="000000" w:themeColor="text1"/>
                <w:szCs w:val="21"/>
                <w:highlight w:val="none"/>
                <w:u w:val="single"/>
                <w14:textFill>
                  <w14:solidFill>
                    <w14:schemeClr w14:val="tx1"/>
                  </w14:solidFill>
                </w14:textFill>
              </w:rPr>
              <w:t>20</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24  </w:t>
            </w:r>
            <w:r>
              <w:rPr>
                <w:rFonts w:hint="eastAsia" w:ascii="宋体" w:hAnsi="宋体" w:eastAsia="宋体" w:cs="宋体"/>
                <w:color w:val="000000" w:themeColor="text1"/>
                <w:szCs w:val="21"/>
                <w:highlight w:val="none"/>
                <w:u w:val="single"/>
                <w14:textFill>
                  <w14:solidFill>
                    <w14:schemeClr w14:val="tx1"/>
                  </w14:solidFill>
                </w14:textFill>
              </w:rPr>
              <w:t>年</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4 </w:t>
            </w:r>
            <w:r>
              <w:rPr>
                <w:rFonts w:hint="eastAsia" w:ascii="宋体" w:hAnsi="宋体" w:eastAsia="宋体" w:cs="宋体"/>
                <w:color w:val="000000" w:themeColor="text1"/>
                <w:szCs w:val="21"/>
                <w:highlight w:val="none"/>
                <w14:textFill>
                  <w14:solidFill>
                    <w14:schemeClr w14:val="tx1"/>
                  </w14:solidFill>
                </w14:textFill>
              </w:rPr>
              <w:t>月</w:t>
            </w:r>
            <w:r>
              <w:rPr>
                <w:rFonts w:hint="eastAsia" w:ascii="宋体" w:hAnsi="宋体" w:eastAsia="宋体" w:cs="宋体"/>
                <w:color w:val="000000" w:themeColor="text1"/>
                <w:szCs w:val="21"/>
                <w:highlight w:val="none"/>
                <w:lang w:val="en-US" w:eastAsia="zh-CN"/>
                <w14:textFill>
                  <w14:solidFill>
                    <w14:schemeClr w14:val="tx1"/>
                  </w14:solidFill>
                </w14:textFill>
              </w:rPr>
              <w:t xml:space="preserve"> 30 </w:t>
            </w:r>
            <w:r>
              <w:rPr>
                <w:rFonts w:hint="eastAsia" w:ascii="宋体" w:hAnsi="宋体" w:eastAsia="宋体" w:cs="宋体"/>
                <w:color w:val="000000" w:themeColor="text1"/>
                <w:szCs w:val="21"/>
                <w:highlight w:val="none"/>
                <w14:textFill>
                  <w14:solidFill>
                    <w14:schemeClr w14:val="tx1"/>
                  </w14:solidFill>
                </w14:textFill>
              </w:rPr>
              <w:t>日</w:t>
            </w: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 xml:space="preserve"> 13 </w:t>
            </w:r>
            <w:r>
              <w:rPr>
                <w:rFonts w:hint="eastAsia" w:ascii="宋体" w:hAnsi="宋体" w:eastAsia="宋体" w:cs="宋体"/>
                <w:snapToGrid w:val="0"/>
                <w:color w:val="000000" w:themeColor="text1"/>
                <w:kern w:val="0"/>
                <w:szCs w:val="21"/>
                <w:highlight w:val="none"/>
                <w14:textFill>
                  <w14:solidFill>
                    <w14:schemeClr w14:val="tx1"/>
                  </w14:solidFill>
                </w14:textFill>
              </w:rPr>
              <w:t>时之前、将要求答疑的问题</w:t>
            </w: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反馈</w:t>
            </w:r>
            <w:r>
              <w:rPr>
                <w:rFonts w:hint="eastAsia" w:ascii="宋体" w:hAnsi="宋体" w:eastAsia="宋体" w:cs="宋体"/>
                <w:snapToGrid w:val="0"/>
                <w:color w:val="000000" w:themeColor="text1"/>
                <w:kern w:val="0"/>
                <w:szCs w:val="21"/>
                <w:highlight w:val="none"/>
                <w14:textFill>
                  <w14:solidFill>
                    <w14:schemeClr w14:val="tx1"/>
                  </w14:solidFill>
                </w14:textFill>
              </w:rPr>
              <w:t>至</w:t>
            </w:r>
            <w:r>
              <w:rPr>
                <w:rFonts w:hint="eastAsia" w:ascii="宋体" w:hAnsi="宋体" w:eastAsia="宋体" w:cs="宋体"/>
                <w:bCs/>
                <w:snapToGrid w:val="0"/>
                <w:color w:val="000000" w:themeColor="text1"/>
                <w:kern w:val="0"/>
                <w:szCs w:val="21"/>
                <w:highlight w:val="none"/>
                <w:lang w:val="en-US" w:eastAsia="zh-CN"/>
                <w14:textFill>
                  <w14:solidFill>
                    <w14:schemeClr w14:val="tx1"/>
                  </w14:solidFill>
                </w14:textFill>
              </w:rPr>
              <w:t>招标联系人</w:t>
            </w:r>
            <w:r>
              <w:rPr>
                <w:rFonts w:hint="eastAsia" w:ascii="宋体" w:hAnsi="宋体" w:eastAsia="宋体" w:cs="宋体"/>
                <w:color w:val="000000" w:themeColor="text1"/>
                <w:szCs w:val="21"/>
                <w:highlight w:val="none"/>
                <w:lang w:val="zh-CN"/>
                <w14:textFill>
                  <w14:solidFill>
                    <w14:schemeClr w14:val="tx1"/>
                  </w14:solidFill>
                </w14:textFill>
              </w:rPr>
              <w:t>。截止期后的或逾期获取招标文件的疑问将不予受理、也不答复。招标人将在</w:t>
            </w:r>
            <w:r>
              <w:rPr>
                <w:rFonts w:hint="eastAsia" w:ascii="宋体" w:hAnsi="宋体" w:eastAsia="宋体" w:cs="宋体"/>
                <w:color w:val="000000" w:themeColor="text1"/>
                <w:szCs w:val="21"/>
                <w:highlight w:val="none"/>
                <w:u w:val="single"/>
                <w14:textFill>
                  <w14:solidFill>
                    <w14:schemeClr w14:val="tx1"/>
                  </w14:solidFill>
                </w14:textFill>
              </w:rPr>
              <w:t>20</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24  </w:t>
            </w:r>
            <w:r>
              <w:rPr>
                <w:rFonts w:hint="eastAsia" w:ascii="宋体" w:hAnsi="宋体" w:eastAsia="宋体" w:cs="宋体"/>
                <w:color w:val="000000" w:themeColor="text1"/>
                <w:szCs w:val="21"/>
                <w:highlight w:val="none"/>
                <w:u w:val="single"/>
                <w14:textFill>
                  <w14:solidFill>
                    <w14:schemeClr w14:val="tx1"/>
                  </w14:solidFill>
                </w14:textFill>
              </w:rPr>
              <w:t>年</w:t>
            </w:r>
            <w:r>
              <w:rPr>
                <w:rFonts w:hint="eastAsia" w:ascii="宋体" w:hAnsi="宋体" w:eastAsia="宋体" w:cs="宋体"/>
                <w:color w:val="000000" w:themeColor="text1"/>
                <w:szCs w:val="21"/>
                <w:highlight w:val="none"/>
                <w:u w:val="single"/>
                <w:lang w:val="en-US" w:eastAsia="zh-CN"/>
                <w14:textFill>
                  <w14:solidFill>
                    <w14:schemeClr w14:val="tx1"/>
                  </w14:solidFill>
                </w14:textFill>
              </w:rPr>
              <w:t xml:space="preserve"> 4 </w:t>
            </w:r>
            <w:r>
              <w:rPr>
                <w:rFonts w:hint="eastAsia" w:ascii="宋体" w:hAnsi="宋体" w:eastAsia="宋体" w:cs="宋体"/>
                <w:color w:val="000000" w:themeColor="text1"/>
                <w:szCs w:val="21"/>
                <w:highlight w:val="none"/>
                <w14:textFill>
                  <w14:solidFill>
                    <w14:schemeClr w14:val="tx1"/>
                  </w14:solidFill>
                </w14:textFill>
              </w:rPr>
              <w:t>月</w:t>
            </w:r>
            <w:r>
              <w:rPr>
                <w:rFonts w:hint="eastAsia" w:ascii="宋体" w:hAnsi="宋体" w:eastAsia="宋体" w:cs="宋体"/>
                <w:color w:val="000000" w:themeColor="text1"/>
                <w:szCs w:val="21"/>
                <w:highlight w:val="none"/>
                <w:lang w:val="en-US" w:eastAsia="zh-CN"/>
                <w14:textFill>
                  <w14:solidFill>
                    <w14:schemeClr w14:val="tx1"/>
                  </w14:solidFill>
                </w14:textFill>
              </w:rPr>
              <w:t xml:space="preserve"> 30 </w:t>
            </w:r>
            <w:r>
              <w:rPr>
                <w:rFonts w:hint="eastAsia" w:ascii="宋体" w:hAnsi="宋体" w:eastAsia="宋体" w:cs="宋体"/>
                <w:color w:val="000000" w:themeColor="text1"/>
                <w:szCs w:val="21"/>
                <w:highlight w:val="none"/>
                <w14:textFill>
                  <w14:solidFill>
                    <w14:schemeClr w14:val="tx1"/>
                  </w14:solidFill>
                </w14:textFill>
              </w:rPr>
              <w:t>日</w:t>
            </w: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 xml:space="preserve"> 17 </w:t>
            </w:r>
            <w:r>
              <w:rPr>
                <w:rFonts w:hint="eastAsia" w:ascii="宋体" w:hAnsi="宋体" w:eastAsia="宋体" w:cs="宋体"/>
                <w:snapToGrid w:val="0"/>
                <w:color w:val="000000" w:themeColor="text1"/>
                <w:kern w:val="0"/>
                <w:szCs w:val="21"/>
                <w:highlight w:val="none"/>
                <w14:textFill>
                  <w14:solidFill>
                    <w14:schemeClr w14:val="tx1"/>
                  </w14:solidFill>
                </w14:textFill>
              </w:rPr>
              <w:t>时</w:t>
            </w:r>
            <w:r>
              <w:rPr>
                <w:rFonts w:hint="eastAsia" w:ascii="宋体" w:hAnsi="宋体" w:eastAsia="宋体" w:cs="宋体"/>
                <w:snapToGrid w:val="0"/>
                <w:color w:val="000000" w:themeColor="text1"/>
                <w:kern w:val="0"/>
                <w:szCs w:val="21"/>
                <w14:textFill>
                  <w14:solidFill>
                    <w14:schemeClr w14:val="tx1"/>
                  </w14:solidFill>
                </w14:textFill>
              </w:rPr>
              <w:t>之前回复已</w:t>
            </w:r>
            <w:r>
              <w:rPr>
                <w:rFonts w:hint="eastAsia" w:ascii="宋体" w:hAnsi="宋体" w:eastAsia="宋体" w:cs="宋体"/>
                <w:snapToGrid w:val="0"/>
                <w:color w:val="000000" w:themeColor="text1"/>
                <w:kern w:val="0"/>
                <w:szCs w:val="21"/>
                <w:lang w:eastAsia="zh-CN"/>
                <w14:textFill>
                  <w14:solidFill>
                    <w14:schemeClr w14:val="tx1"/>
                  </w14:solidFill>
                </w14:textFill>
              </w:rPr>
              <w:t>获取</w:t>
            </w:r>
            <w:r>
              <w:rPr>
                <w:rFonts w:hint="eastAsia" w:ascii="宋体" w:hAnsi="宋体" w:eastAsia="宋体" w:cs="宋体"/>
                <w:snapToGrid w:val="0"/>
                <w:color w:val="000000" w:themeColor="text1"/>
                <w:kern w:val="0"/>
                <w:szCs w:val="21"/>
                <w14:textFill>
                  <w14:solidFill>
                    <w14:schemeClr w14:val="tx1"/>
                  </w14:solidFill>
                </w14:textFill>
              </w:rPr>
              <w:t>文件的投标人，</w:t>
            </w:r>
            <w:r>
              <w:rPr>
                <w:rFonts w:hint="eastAsia" w:ascii="宋体" w:hAnsi="宋体" w:eastAsia="宋体" w:cs="宋体"/>
                <w:color w:val="000000" w:themeColor="text1"/>
                <w:szCs w:val="21"/>
                <w14:textFill>
                  <w14:solidFill>
                    <w14:schemeClr w14:val="tx1"/>
                  </w14:solidFill>
                </w14:textFill>
              </w:rPr>
              <w:t>答疑回复内容是招标文件的组成部份。</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43"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13</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招标文件的澄清与修改</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在投标截止时间3天前，招标人有权澄清和修改招标文件，并以书面形式通知所有已</w:t>
            </w:r>
            <w:r>
              <w:rPr>
                <w:rFonts w:hint="eastAsia" w:ascii="宋体" w:hAnsi="宋体" w:eastAsia="宋体" w:cs="宋体"/>
                <w:color w:val="000000" w:themeColor="text1"/>
                <w:szCs w:val="21"/>
                <w:lang w:eastAsia="zh-CN"/>
                <w14:textFill>
                  <w14:solidFill>
                    <w14:schemeClr w14:val="tx1"/>
                  </w14:solidFill>
                </w14:textFill>
              </w:rPr>
              <w:t>获取</w:t>
            </w:r>
            <w:r>
              <w:rPr>
                <w:rFonts w:hint="eastAsia" w:ascii="宋体" w:hAnsi="宋体" w:eastAsia="宋体" w:cs="宋体"/>
                <w:color w:val="000000" w:themeColor="text1"/>
                <w:szCs w:val="21"/>
                <w14:textFill>
                  <w14:solidFill>
                    <w14:schemeClr w14:val="tx1"/>
                  </w14:solidFill>
                </w14:textFill>
              </w:rPr>
              <w:t>招标文件的投标人。修改和澄清（答疑）答复的文件作为招标招标文件的补充和组成部分，对所有投标人均有约束力。澄清和修改内容对投标人编制投标文件有重大影响的，招标人应当考虑延长投标截止时间。</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1"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14</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投标文件份数</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纸质文件包括正本一份、副本二份，电子文档一份（注明投标项目及单位名称，密封在正本内）。</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15</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评标办法</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综合评分法</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12"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16</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投标文件递交地址及截止时间</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w:t>
            </w:r>
            <w:r>
              <w:rPr>
                <w:rFonts w:hint="eastAsia" w:ascii="宋体" w:hAnsi="宋体" w:eastAsia="宋体" w:cs="宋体"/>
                <w:color w:val="000000" w:themeColor="text1"/>
                <w:szCs w:val="21"/>
                <w:lang w:val="en-US" w:eastAsia="zh-CN"/>
                <w14:textFill>
                  <w14:solidFill>
                    <w14:schemeClr w14:val="tx1"/>
                  </w14:solidFill>
                </w14:textFill>
              </w:rPr>
              <w:t>招标公告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23"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17</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开标时间及地点</w:t>
            </w:r>
          </w:p>
        </w:tc>
        <w:tc>
          <w:tcPr>
            <w:tcW w:w="6383" w:type="dxa"/>
            <w:vAlign w:val="center"/>
          </w:tcPr>
          <w:p>
            <w:pPr>
              <w:adjustRightInd w:val="0"/>
              <w:snapToGrid w:val="0"/>
              <w:spacing w:line="400" w:lineRule="exact"/>
              <w:rPr>
                <w:rFonts w:hint="eastAsia" w:ascii="宋体" w:hAnsi="宋体" w:eastAsia="宋体" w:cs="宋体"/>
                <w:b/>
                <w:color w:val="000000" w:themeColor="text1"/>
                <w:kern w:val="0"/>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w:t>
            </w:r>
            <w:r>
              <w:rPr>
                <w:rFonts w:hint="eastAsia" w:ascii="宋体" w:hAnsi="宋体" w:eastAsia="宋体" w:cs="宋体"/>
                <w:color w:val="000000" w:themeColor="text1"/>
                <w:szCs w:val="21"/>
                <w:lang w:val="en-US" w:eastAsia="zh-CN"/>
                <w14:textFill>
                  <w14:solidFill>
                    <w14:schemeClr w14:val="tx1"/>
                  </w14:solidFill>
                </w14:textFill>
              </w:rPr>
              <w:t>招标公告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449"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18</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投标有效期</w:t>
            </w:r>
          </w:p>
        </w:tc>
        <w:tc>
          <w:tcPr>
            <w:tcW w:w="6383"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投标截止日后</w:t>
            </w:r>
            <w:r>
              <w:rPr>
                <w:rFonts w:hint="eastAsia" w:ascii="宋体" w:hAnsi="宋体" w:eastAsia="宋体" w:cs="宋体"/>
                <w:bCs/>
                <w:color w:val="000000" w:themeColor="text1"/>
                <w:szCs w:val="21"/>
                <w:lang w:val="en-US" w:eastAsia="zh-CN"/>
                <w14:textFill>
                  <w14:solidFill>
                    <w14:schemeClr w14:val="tx1"/>
                  </w14:solidFill>
                </w14:textFill>
              </w:rPr>
              <w:t>150</w:t>
            </w:r>
            <w:r>
              <w:rPr>
                <w:rFonts w:hint="eastAsia" w:ascii="宋体" w:hAnsi="宋体" w:eastAsia="宋体" w:cs="宋体"/>
                <w:bCs/>
                <w:color w:val="000000" w:themeColor="text1"/>
                <w:szCs w:val="21"/>
                <w14:textFill>
                  <w14:solidFill>
                    <w14:schemeClr w14:val="tx1"/>
                  </w14:solidFill>
                </w14:textFill>
              </w:rPr>
              <w:t>天</w:t>
            </w:r>
            <w:r>
              <w:rPr>
                <w:rFonts w:hint="eastAsia" w:ascii="宋体" w:hAnsi="宋体" w:eastAsia="宋体" w:cs="宋体"/>
                <w:color w:val="000000" w:themeColor="text1"/>
                <w:szCs w:val="21"/>
                <w14:textFill>
                  <w14:solidFill>
                    <w14:schemeClr w14:val="tx1"/>
                  </w14:solidFill>
                </w14:textFill>
              </w:rPr>
              <w:t>内有效，不足该有效期的，其投标视为无效标。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390"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19</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履约保证金</w:t>
            </w:r>
          </w:p>
        </w:tc>
        <w:tc>
          <w:tcPr>
            <w:tcW w:w="6383" w:type="dxa"/>
            <w:vAlign w:val="center"/>
          </w:tcPr>
          <w:p>
            <w:pPr>
              <w:pStyle w:val="27"/>
              <w:adjustRightInd w:val="0"/>
              <w:snapToGrid w:val="0"/>
              <w:rPr>
                <w:rFonts w:hint="eastAsia" w:ascii="宋体" w:hAnsi="宋体" w:eastAsia="宋体" w:cs="宋体"/>
                <w:color w:val="000000" w:themeColor="text1"/>
                <w:szCs w:val="21"/>
                <w:lang w:val="en-US"/>
                <w14:textFill>
                  <w14:solidFill>
                    <w14:schemeClr w14:val="tx1"/>
                  </w14:solidFill>
                </w14:textFill>
              </w:rPr>
            </w:pPr>
            <w:r>
              <w:rPr>
                <w:rFonts w:hint="eastAsia" w:ascii="宋体" w:hAnsi="宋体" w:eastAsia="宋体" w:cs="宋体"/>
                <w:color w:val="000000" w:themeColor="text1"/>
                <w:szCs w:val="21"/>
                <w:lang w:val="en-US"/>
                <w14:textFill>
                  <w14:solidFill>
                    <w14:schemeClr w14:val="tx1"/>
                  </w14:solidFill>
                </w14:textFill>
              </w:rPr>
              <w:t>无</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33"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20</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异议</w:t>
            </w:r>
          </w:p>
        </w:tc>
        <w:tc>
          <w:tcPr>
            <w:tcW w:w="6383" w:type="dxa"/>
            <w:vAlign w:val="center"/>
          </w:tcPr>
          <w:p>
            <w:pPr>
              <w:pStyle w:val="27"/>
              <w:adjustRightInd w:val="0"/>
              <w:snapToGrid w:val="0"/>
              <w:jc w:val="left"/>
              <w:rPr>
                <w:rFonts w:hint="eastAsia" w:ascii="宋体" w:hAnsi="宋体" w:eastAsia="宋体" w:cs="宋体"/>
                <w:snapToGrid w:val="0"/>
                <w:color w:val="000000" w:themeColor="text1"/>
                <w:kern w:val="0"/>
                <w:szCs w:val="21"/>
                <w:lang w:val="en-US"/>
                <w14:textFill>
                  <w14:solidFill>
                    <w14:schemeClr w14:val="tx1"/>
                  </w14:solidFill>
                </w14:textFill>
              </w:rPr>
            </w:pPr>
            <w:r>
              <w:rPr>
                <w:rFonts w:hint="eastAsia" w:ascii="宋体" w:hAnsi="宋体" w:eastAsia="宋体" w:cs="宋体"/>
                <w:snapToGrid w:val="0"/>
                <w:color w:val="000000" w:themeColor="text1"/>
                <w:kern w:val="0"/>
                <w:szCs w:val="21"/>
                <w:lang w:val="en-US"/>
                <w14:textFill>
                  <w14:solidFill>
                    <w14:schemeClr w14:val="tx1"/>
                  </w14:solidFill>
                </w14:textFill>
              </w:rPr>
              <w:t>见</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235"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21</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投诉</w:t>
            </w:r>
          </w:p>
        </w:tc>
        <w:tc>
          <w:tcPr>
            <w:tcW w:w="6383" w:type="dxa"/>
            <w:vAlign w:val="center"/>
          </w:tcPr>
          <w:p>
            <w:pPr>
              <w:adjustRightInd w:val="0"/>
              <w:snapToGrid w:val="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val="en-US"/>
                <w14:textFill>
                  <w14:solidFill>
                    <w14:schemeClr w14:val="tx1"/>
                  </w14:solidFill>
                </w14:textFill>
              </w:rPr>
              <w:t>见</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招标公告</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1987" w:hRule="atLeast"/>
          <w:jc w:val="center"/>
        </w:trPr>
        <w:tc>
          <w:tcPr>
            <w:tcW w:w="648" w:type="dxa"/>
            <w:vAlign w:val="center"/>
          </w:tcPr>
          <w:p>
            <w:pPr>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22</w:t>
            </w:r>
          </w:p>
        </w:tc>
        <w:tc>
          <w:tcPr>
            <w:tcW w:w="1800" w:type="dxa"/>
            <w:vAlign w:val="center"/>
          </w:tcPr>
          <w:p>
            <w:pPr>
              <w:adjustRightInd w:val="0"/>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特别说明</w:t>
            </w:r>
          </w:p>
        </w:tc>
        <w:tc>
          <w:tcPr>
            <w:tcW w:w="6383" w:type="dxa"/>
            <w:vAlign w:val="center"/>
          </w:tcPr>
          <w:p>
            <w:pPr>
              <w:pStyle w:val="27"/>
              <w:adjustRightInd w:val="0"/>
              <w:snapToGrid w:val="0"/>
              <w:rPr>
                <w:rFonts w:hint="eastAsia" w:ascii="宋体" w:hAnsi="宋体" w:eastAsia="宋体" w:cs="宋体"/>
                <w:color w:val="000000" w:themeColor="text1"/>
                <w:szCs w:val="21"/>
                <w:lang w:val="en-US"/>
                <w14:textFill>
                  <w14:solidFill>
                    <w14:schemeClr w14:val="tx1"/>
                  </w14:solidFill>
                </w14:textFill>
              </w:rPr>
            </w:pPr>
            <w:r>
              <w:rPr>
                <w:rFonts w:hint="eastAsia" w:ascii="宋体" w:hAnsi="宋体" w:eastAsia="宋体" w:cs="宋体"/>
                <w:color w:val="000000" w:themeColor="text1"/>
                <w:szCs w:val="21"/>
                <w:lang w:val="en-US"/>
                <w14:textFill>
                  <w14:solidFill>
                    <w14:schemeClr w14:val="tx1"/>
                  </w14:solidFill>
                </w14:textFill>
              </w:rPr>
              <w:t>（1）</w:t>
            </w:r>
            <w:r>
              <w:rPr>
                <w:rFonts w:hint="eastAsia" w:ascii="宋体" w:hAnsi="宋体" w:eastAsia="宋体" w:cs="宋体"/>
                <w:b/>
                <w:color w:val="000000" w:themeColor="text1"/>
                <w:szCs w:val="21"/>
                <w:lang w:val="en-US"/>
                <w14:textFill>
                  <w14:solidFill>
                    <w14:schemeClr w14:val="tx1"/>
                  </w14:solidFill>
                </w14:textFill>
              </w:rPr>
              <w:t>投标人应无条件的、认真仔细的、不厌其烦的阅读本招标文件及其澄清答疑、修改答复的补充文件，严格按照招标文件及补充文件的规定和要求编制投标文件。</w:t>
            </w:r>
            <w:r>
              <w:rPr>
                <w:rFonts w:hint="eastAsia" w:ascii="宋体" w:hAnsi="宋体" w:eastAsia="宋体" w:cs="宋体"/>
                <w:color w:val="000000" w:themeColor="text1"/>
                <w:szCs w:val="21"/>
                <w:lang w:val="en-US"/>
                <w14:textFill>
                  <w14:solidFill>
                    <w14:schemeClr w14:val="tx1"/>
                  </w14:solidFill>
                </w14:textFill>
              </w:rPr>
              <w:t>在编制投标文件过程中，应严格遵循实事求是、诚信投标的原则，</w:t>
            </w:r>
            <w:r>
              <w:rPr>
                <w:rFonts w:hint="eastAsia" w:ascii="宋体" w:hAnsi="宋体" w:eastAsia="宋体" w:cs="宋体"/>
                <w:snapToGrid w:val="0"/>
                <w:color w:val="000000" w:themeColor="text1"/>
                <w:kern w:val="0"/>
                <w:szCs w:val="21"/>
                <w:lang w:val="en-US"/>
                <w14:textFill>
                  <w14:solidFill>
                    <w14:schemeClr w14:val="tx1"/>
                  </w14:solidFill>
                </w14:textFill>
              </w:rPr>
              <w:t>针对招标文件中第三章合同条款等各项内容、第四章用户需求</w:t>
            </w:r>
            <w:r>
              <w:rPr>
                <w:rFonts w:hint="eastAsia" w:ascii="宋体" w:hAnsi="宋体" w:eastAsia="宋体" w:cs="宋体"/>
                <w:color w:val="000000" w:themeColor="text1"/>
                <w:szCs w:val="21"/>
                <w:lang w:val="en-US"/>
                <w14:textFill>
                  <w14:solidFill>
                    <w14:schemeClr w14:val="tx1"/>
                  </w14:solidFill>
                </w14:textFill>
              </w:rPr>
              <w:t>等各项内容进行确认，如有偏离，应如实填写响应偏离表。</w:t>
            </w:r>
            <w:r>
              <w:rPr>
                <w:rFonts w:hint="eastAsia" w:ascii="宋体" w:hAnsi="宋体" w:eastAsia="宋体" w:cs="宋体"/>
                <w:b/>
                <w:color w:val="000000" w:themeColor="text1"/>
                <w:szCs w:val="21"/>
                <w:lang w:val="en-US"/>
                <w14:textFill>
                  <w14:solidFill>
                    <w14:schemeClr w14:val="tx1"/>
                  </w14:solidFill>
                </w14:textFill>
              </w:rPr>
              <w:t>若投标人不提供偏离表或偏离表为空白则视为投标人完全响应招标文件的要求。</w:t>
            </w:r>
          </w:p>
          <w:p>
            <w:pPr>
              <w:pStyle w:val="27"/>
              <w:adjustRightInd w:val="0"/>
              <w:snapToGrid w:val="0"/>
              <w:rPr>
                <w:rFonts w:hint="eastAsia" w:ascii="宋体" w:hAnsi="宋体" w:eastAsia="宋体" w:cs="宋体"/>
                <w:snapToGrid w:val="0"/>
                <w:color w:val="000000" w:themeColor="text1"/>
                <w:kern w:val="0"/>
                <w:szCs w:val="21"/>
                <w:lang w:val="en-US"/>
                <w14:textFill>
                  <w14:solidFill>
                    <w14:schemeClr w14:val="tx1"/>
                  </w14:solidFill>
                </w14:textFill>
              </w:rPr>
            </w:pPr>
            <w:r>
              <w:rPr>
                <w:rFonts w:hint="eastAsia" w:ascii="宋体" w:hAnsi="宋体" w:eastAsia="宋体" w:cs="宋体"/>
                <w:color w:val="000000" w:themeColor="text1"/>
                <w:szCs w:val="21"/>
                <w:lang w:val="en-US"/>
                <w14:textFill>
                  <w14:solidFill>
                    <w14:schemeClr w14:val="tx1"/>
                  </w14:solidFill>
                </w14:textFill>
              </w:rPr>
              <w:t>（2）</w:t>
            </w:r>
            <w:r>
              <w:rPr>
                <w:rFonts w:hint="eastAsia" w:ascii="宋体" w:hAnsi="宋体" w:eastAsia="宋体" w:cs="宋体"/>
                <w:snapToGrid w:val="0"/>
                <w:color w:val="000000" w:themeColor="text1"/>
                <w:kern w:val="0"/>
                <w:szCs w:val="21"/>
                <w:lang w:val="en-US"/>
                <w14:textFill>
                  <w14:solidFill>
                    <w14:schemeClr w14:val="tx1"/>
                  </w14:solidFill>
                </w14:textFill>
              </w:rPr>
              <w:t>该项目中标公示期间，投标人不得通过非正当途径、更不得通过非正当手段获取法律法规规定评标委员会（包括其他相关人员）应当保密的相关内容。即便由此获得资料并作为向招标人或</w:t>
            </w:r>
            <w:r>
              <w:rPr>
                <w:rFonts w:hint="eastAsia" w:ascii="宋体" w:hAnsi="宋体" w:eastAsia="宋体" w:cs="宋体"/>
                <w:snapToGrid w:val="0"/>
                <w:color w:val="000000" w:themeColor="text1"/>
                <w:kern w:val="0"/>
                <w:szCs w:val="21"/>
                <w:lang w:val="en-US" w:eastAsia="zh-CN"/>
                <w14:textFill>
                  <w14:solidFill>
                    <w14:schemeClr w14:val="tx1"/>
                  </w14:solidFill>
                </w14:textFill>
              </w:rPr>
              <w:t>纪律检查室</w:t>
            </w:r>
            <w:r>
              <w:rPr>
                <w:rFonts w:hint="eastAsia" w:ascii="宋体" w:hAnsi="宋体" w:eastAsia="宋体" w:cs="宋体"/>
                <w:snapToGrid w:val="0"/>
                <w:color w:val="000000" w:themeColor="text1"/>
                <w:kern w:val="0"/>
                <w:szCs w:val="21"/>
                <w:lang w:val="en-US"/>
                <w14:textFill>
                  <w14:solidFill>
                    <w14:schemeClr w14:val="tx1"/>
                  </w14:solidFill>
                </w14:textFill>
              </w:rPr>
              <w:t>提出异（质）疑或投诉或法院起诉的理由，均属于非法索取的依据。</w:t>
            </w:r>
          </w:p>
        </w:tc>
      </w:tr>
    </w:tbl>
    <w:p>
      <w:pPr>
        <w:pageBreakBefore w:val="0"/>
        <w:widowControl w:val="0"/>
        <w:kinsoku/>
        <w:wordWrap/>
        <w:overflowPunct/>
        <w:topLinePunct w:val="0"/>
        <w:autoSpaceDE/>
        <w:autoSpaceDN/>
        <w:bidi w:val="0"/>
        <w:adjustRightInd w:val="0"/>
        <w:snapToGrid w:val="0"/>
        <w:spacing w:line="360" w:lineRule="auto"/>
        <w:textAlignment w:val="auto"/>
        <w:rPr>
          <w:rFonts w:ascii="EYInterstate Light" w:hAnsi="EYInterstate Light"/>
          <w:b/>
          <w:color w:val="000000" w:themeColor="text1"/>
          <w:sz w:val="24"/>
          <w14:textFill>
            <w14:solidFill>
              <w14:schemeClr w14:val="tx1"/>
            </w14:solidFill>
          </w14:textFill>
        </w:rPr>
      </w:pPr>
      <w:bookmarkStart w:id="227" w:name="_Toc488655831"/>
      <w:bookmarkStart w:id="228" w:name="_Toc227057885"/>
      <w:bookmarkStart w:id="229" w:name="_Toc226969278"/>
      <w:bookmarkStart w:id="230" w:name="_Toc107822484"/>
      <w:r>
        <w:rPr>
          <w:rFonts w:hint="eastAsia" w:ascii="宋体" w:hAnsi="宋体" w:eastAsia="宋体" w:cs="宋体"/>
          <w:snapToGrid w:val="0"/>
          <w:color w:val="000000" w:themeColor="text1"/>
          <w:kern w:val="0"/>
          <w:szCs w:val="21"/>
          <w14:textFill>
            <w14:solidFill>
              <w14:schemeClr w14:val="tx1"/>
            </w14:solidFill>
          </w14:textFill>
        </w:rPr>
        <w:t>注：以上内容如有变化将另行书面通知。如通知其中某一内容发生变化，其余未提及的将不作变动。</w:t>
      </w:r>
      <w:r>
        <w:rPr>
          <w:rFonts w:ascii="EYInterstate Light" w:hAnsi="EYInterstate Light"/>
          <w:b/>
          <w:color w:val="000000" w:themeColor="text1"/>
          <w:sz w:val="24"/>
          <w14:textFill>
            <w14:solidFill>
              <w14:schemeClr w14:val="tx1"/>
            </w14:solidFill>
          </w14:textFill>
        </w:rPr>
        <w:br w:type="page"/>
      </w:r>
      <w:bookmarkStart w:id="231" w:name="_Toc367274977"/>
      <w:bookmarkStart w:id="232" w:name="_Toc240450077"/>
      <w:bookmarkStart w:id="233" w:name="_Toc251566650"/>
    </w:p>
    <w:p>
      <w:pPr>
        <w:pStyle w:val="6"/>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eastAsia" w:ascii="宋体" w:hAnsi="宋体" w:cs="宋体"/>
        </w:rPr>
      </w:pPr>
      <w:bookmarkStart w:id="234" w:name="_Toc14093"/>
      <w:bookmarkStart w:id="235" w:name="_Toc406"/>
      <w:bookmarkStart w:id="236" w:name="_Toc24875"/>
      <w:bookmarkStart w:id="237" w:name="_Toc23498"/>
      <w:bookmarkStart w:id="238" w:name="_Toc7406"/>
      <w:bookmarkStart w:id="239" w:name="_Toc12621"/>
      <w:bookmarkStart w:id="240" w:name="_Toc18089"/>
      <w:bookmarkStart w:id="241" w:name="_Toc7099"/>
      <w:bookmarkStart w:id="242" w:name="_Toc27106"/>
      <w:bookmarkStart w:id="243" w:name="_Toc11654"/>
      <w:bookmarkStart w:id="244" w:name="_Toc25115"/>
      <w:bookmarkStart w:id="245" w:name="_Toc13001"/>
      <w:r>
        <w:rPr>
          <w:rFonts w:hint="eastAsia" w:ascii="宋体" w:hAnsi="宋体" w:cs="宋体"/>
        </w:rPr>
        <w:t>一、总则</w:t>
      </w:r>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pPr>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本次招标工作是按照《中华人民共和国招标投标法》等相关法律法规组织和实施，并由招标人纪律检查室指导和监督。</w:t>
      </w:r>
    </w:p>
    <w:p>
      <w:pPr>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22" w:firstLineChars="200"/>
        <w:textAlignment w:val="auto"/>
        <w:rPr>
          <w:rFonts w:hint="eastAsia" w:ascii="宋体" w:hAnsi="宋体" w:eastAsia="宋体" w:cs="宋体"/>
          <w:b/>
          <w:snapToGrid w:val="0"/>
          <w:color w:val="000000" w:themeColor="text1"/>
          <w:kern w:val="0"/>
          <w:sz w:val="21"/>
          <w:szCs w:val="21"/>
          <w14:textFill>
            <w14:solidFill>
              <w14:schemeClr w14:val="tx1"/>
            </w14:solidFill>
          </w14:textFill>
        </w:rPr>
      </w:pPr>
      <w:bookmarkStart w:id="246" w:name="_Toc251566652"/>
      <w:bookmarkStart w:id="247" w:name="_Toc240450079"/>
      <w:r>
        <w:rPr>
          <w:rFonts w:hint="eastAsia" w:ascii="宋体" w:hAnsi="宋体" w:eastAsia="宋体" w:cs="宋体"/>
          <w:b/>
          <w:snapToGrid w:val="0"/>
          <w:color w:val="000000" w:themeColor="text1"/>
          <w:kern w:val="0"/>
          <w:sz w:val="21"/>
          <w:szCs w:val="21"/>
          <w14:textFill>
            <w14:solidFill>
              <w14:schemeClr w14:val="tx1"/>
            </w14:solidFill>
          </w14:textFill>
        </w:rPr>
        <w:t>适用范围</w:t>
      </w:r>
    </w:p>
    <w:p>
      <w:pPr>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本招标文件仅适用于本次招标项目。</w:t>
      </w:r>
    </w:p>
    <w:p>
      <w:pPr>
        <w:pageBreakBefore w:val="0"/>
        <w:widowControl w:val="0"/>
        <w:numPr>
          <w:ilvl w:val="0"/>
          <w:numId w:val="9"/>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本项目招标方式为</w:t>
      </w: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公开</w:t>
      </w:r>
      <w:r>
        <w:rPr>
          <w:rFonts w:hint="eastAsia" w:ascii="宋体" w:hAnsi="宋体" w:eastAsia="宋体" w:cs="宋体"/>
          <w:snapToGrid w:val="0"/>
          <w:color w:val="000000" w:themeColor="text1"/>
          <w:kern w:val="0"/>
          <w:sz w:val="21"/>
          <w:szCs w:val="21"/>
          <w14:textFill>
            <w14:solidFill>
              <w14:schemeClr w14:val="tx1"/>
            </w14:solidFill>
          </w14:textFill>
        </w:rPr>
        <w:t>招标。</w:t>
      </w:r>
    </w:p>
    <w:p>
      <w:pPr>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22" w:firstLineChars="200"/>
        <w:textAlignment w:val="auto"/>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定义</w:t>
      </w:r>
    </w:p>
    <w:p>
      <w:pPr>
        <w:pageBreakBefore w:val="0"/>
        <w:widowControl w:val="0"/>
        <w:numPr>
          <w:ilvl w:val="0"/>
          <w:numId w:val="10"/>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“招标人”系指</w:t>
      </w: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浙江亿利达风机股份有限公司</w:t>
      </w:r>
      <w:r>
        <w:rPr>
          <w:rFonts w:hint="eastAsia" w:ascii="宋体" w:hAnsi="宋体" w:eastAsia="宋体" w:cs="宋体"/>
          <w:snapToGrid w:val="0"/>
          <w:color w:val="000000" w:themeColor="text1"/>
          <w:kern w:val="0"/>
          <w:sz w:val="21"/>
          <w:szCs w:val="21"/>
          <w14:textFill>
            <w14:solidFill>
              <w14:schemeClr w14:val="tx1"/>
            </w14:solidFill>
          </w14:textFill>
        </w:rPr>
        <w:t>。</w:t>
      </w:r>
    </w:p>
    <w:p>
      <w:pPr>
        <w:pageBreakBefore w:val="0"/>
        <w:widowControl w:val="0"/>
        <w:numPr>
          <w:ilvl w:val="0"/>
          <w:numId w:val="10"/>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“投标人”系指响应本次招标，参加本次投标的非联合体投标人。</w:t>
      </w:r>
    </w:p>
    <w:p>
      <w:pPr>
        <w:pageBreakBefore w:val="0"/>
        <w:widowControl w:val="0"/>
        <w:numPr>
          <w:ilvl w:val="0"/>
          <w:numId w:val="10"/>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“货物”系指投标人按招标文件或合同要求，须向招标人提供的一切材料、设备、机械、仪器、备件、配件、工具、手册及其他技术资料和文字材料。</w:t>
      </w:r>
    </w:p>
    <w:p>
      <w:pPr>
        <w:pageBreakBefore w:val="0"/>
        <w:widowControl w:val="0"/>
        <w:numPr>
          <w:ilvl w:val="0"/>
          <w:numId w:val="10"/>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“服务”系指招标文件或合同规定投标人须承担的相关工作等以及其他类似的义务。</w:t>
      </w:r>
    </w:p>
    <w:p>
      <w:pPr>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22" w:firstLineChars="200"/>
        <w:textAlignment w:val="auto"/>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合格的投标人及合格的投标服务</w:t>
      </w:r>
    </w:p>
    <w:p>
      <w:pPr>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合格的投标人(不接受联合体)，详</w:t>
      </w:r>
      <w:r>
        <w:rPr>
          <w:rFonts w:hint="eastAsia" w:ascii="宋体" w:hAnsi="宋体" w:eastAsia="宋体" w:cs="宋体"/>
          <w:snapToGrid w:val="0"/>
          <w:color w:val="000000" w:themeColor="text1"/>
          <w:kern w:val="0"/>
          <w:szCs w:val="21"/>
          <w:lang w:val="en-US"/>
          <w14:textFill>
            <w14:solidFill>
              <w14:schemeClr w14:val="tx1"/>
            </w14:solidFill>
          </w14:textFill>
        </w:rPr>
        <w:t>见</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招标公告</w:t>
      </w:r>
      <w:r>
        <w:rPr>
          <w:rFonts w:hint="eastAsia" w:ascii="宋体" w:hAnsi="宋体" w:eastAsia="宋体" w:cs="宋体"/>
          <w:snapToGrid w:val="0"/>
          <w:color w:val="000000" w:themeColor="text1"/>
          <w:kern w:val="0"/>
          <w:sz w:val="21"/>
          <w:szCs w:val="21"/>
          <w14:textFill>
            <w14:solidFill>
              <w14:schemeClr w14:val="tx1"/>
            </w14:solidFill>
          </w14:textFill>
        </w:rPr>
        <w:t>规定的投标人必须具备的资格条件并经评标委员会审查通过的。</w:t>
      </w:r>
    </w:p>
    <w:p>
      <w:pPr>
        <w:pageBreakBefore w:val="0"/>
        <w:widowControl w:val="0"/>
        <w:numPr>
          <w:ilvl w:val="0"/>
          <w:numId w:val="11"/>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合格的投标服务，所述的“服务”是指满足本项目实质要求的服务。</w:t>
      </w:r>
    </w:p>
    <w:p>
      <w:pPr>
        <w:pageBreakBefore w:val="0"/>
        <w:widowControl w:val="0"/>
        <w:numPr>
          <w:ilvl w:val="0"/>
          <w:numId w:val="8"/>
        </w:numPr>
        <w:kinsoku/>
        <w:wordWrap/>
        <w:overflowPunct/>
        <w:topLinePunct w:val="0"/>
        <w:autoSpaceDE/>
        <w:autoSpaceDN/>
        <w:bidi w:val="0"/>
        <w:adjustRightInd w:val="0"/>
        <w:snapToGrid w:val="0"/>
        <w:spacing w:line="360" w:lineRule="auto"/>
        <w:ind w:left="0" w:leftChars="0" w:firstLine="422" w:firstLineChars="200"/>
        <w:textAlignment w:val="auto"/>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相关说明</w:t>
      </w:r>
    </w:p>
    <w:p>
      <w:pPr>
        <w:pageBreakBefore w:val="0"/>
        <w:widowControl w:val="0"/>
        <w:numPr>
          <w:ilvl w:val="0"/>
          <w:numId w:val="12"/>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投标费用</w:t>
      </w:r>
      <w:r>
        <w:rPr>
          <w:rFonts w:hint="eastAsia" w:ascii="宋体" w:hAnsi="宋体" w:eastAsia="宋体" w:cs="宋体"/>
          <w:snapToGrid w:val="0"/>
          <w:color w:val="000000" w:themeColor="text1"/>
          <w:kern w:val="0"/>
          <w:sz w:val="21"/>
          <w:szCs w:val="21"/>
          <w:lang w:eastAsia="zh-CN"/>
          <w14:textFill>
            <w14:solidFill>
              <w14:schemeClr w14:val="tx1"/>
            </w14:solidFill>
          </w14:textFill>
        </w:rPr>
        <w:t>：</w:t>
      </w:r>
      <w:r>
        <w:rPr>
          <w:rFonts w:hint="eastAsia" w:ascii="宋体" w:hAnsi="宋体" w:eastAsia="宋体" w:cs="宋体"/>
          <w:snapToGrid w:val="0"/>
          <w:color w:val="000000" w:themeColor="text1"/>
          <w:kern w:val="0"/>
          <w:sz w:val="21"/>
          <w:szCs w:val="21"/>
          <w14:textFill>
            <w14:solidFill>
              <w14:schemeClr w14:val="tx1"/>
            </w14:solidFill>
          </w14:textFill>
        </w:rPr>
        <w:t>投标人应承担其参加投标所涉及的一切费用，不管投标结果如何，招标人对这些费用不负任何责任。</w:t>
      </w:r>
    </w:p>
    <w:p>
      <w:pPr>
        <w:pageBreakBefore w:val="0"/>
        <w:widowControl w:val="0"/>
        <w:numPr>
          <w:ilvl w:val="0"/>
          <w:numId w:val="12"/>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投标人在投标活动中提供任何虚假材料或从事其他违法活动的,其投标无效，并报监管部门查处。</w:t>
      </w:r>
    </w:p>
    <w:p>
      <w:pPr>
        <w:pageBreakBefore w:val="0"/>
        <w:widowControl w:val="0"/>
        <w:numPr>
          <w:ilvl w:val="0"/>
          <w:numId w:val="12"/>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投标人应仔细阅读招标文件的所有内容，按照招标文件的要求提交投标文件。投标文件应对招标文件的要求作出实质性响应，并对所提供的全部资料的真实性承担法律责任。</w:t>
      </w:r>
    </w:p>
    <w:p>
      <w:pPr>
        <w:pStyle w:val="6"/>
        <w:keepNext/>
        <w:keepLines/>
        <w:pageBreakBefore w:val="0"/>
        <w:widowControl w:val="0"/>
        <w:kinsoku/>
        <w:wordWrap/>
        <w:overflowPunct/>
        <w:topLinePunct w:val="0"/>
        <w:autoSpaceDE/>
        <w:autoSpaceDN/>
        <w:bidi w:val="0"/>
        <w:adjustRightInd/>
        <w:snapToGrid/>
        <w:spacing w:before="0" w:after="0" w:line="360" w:lineRule="auto"/>
        <w:ind w:firstLine="643" w:firstLineChars="200"/>
        <w:textAlignment w:val="auto"/>
        <w:rPr>
          <w:rFonts w:hint="eastAsia" w:ascii="宋体" w:hAnsi="宋体" w:cs="宋体"/>
          <w:highlight w:val="none"/>
        </w:rPr>
      </w:pPr>
      <w:bookmarkStart w:id="248" w:name="_Toc22843"/>
      <w:bookmarkStart w:id="249" w:name="_Toc8044"/>
      <w:bookmarkStart w:id="250" w:name="_Toc251566651"/>
      <w:bookmarkStart w:id="251" w:name="_Toc240450078"/>
      <w:bookmarkStart w:id="252" w:name="_Toc294777232"/>
      <w:bookmarkStart w:id="253" w:name="_Toc4359"/>
      <w:bookmarkStart w:id="254" w:name="_Toc22934"/>
      <w:bookmarkStart w:id="255" w:name="_Toc20271"/>
      <w:bookmarkStart w:id="256" w:name="_Toc7072"/>
      <w:bookmarkStart w:id="257" w:name="_Toc31012"/>
      <w:bookmarkStart w:id="258" w:name="_Toc24761"/>
      <w:bookmarkStart w:id="259" w:name="_Toc13247"/>
      <w:bookmarkStart w:id="260" w:name="_Toc12404"/>
      <w:bookmarkStart w:id="261" w:name="_Toc8457"/>
      <w:bookmarkStart w:id="262" w:name="_Toc367274978"/>
      <w:bookmarkStart w:id="263" w:name="_Toc3218"/>
      <w:r>
        <w:rPr>
          <w:rFonts w:hint="eastAsia" w:ascii="宋体" w:hAnsi="宋体" w:cs="宋体"/>
          <w:highlight w:val="none"/>
        </w:rPr>
        <w:t>二、招标文件</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p>
      <w:pPr>
        <w:pageBreakBefore w:val="0"/>
        <w:widowControl w:val="0"/>
        <w:numPr>
          <w:ilvl w:val="0"/>
          <w:numId w:val="13"/>
        </w:numPr>
        <w:kinsoku/>
        <w:wordWrap/>
        <w:overflowPunct/>
        <w:topLinePunct w:val="0"/>
        <w:autoSpaceDE/>
        <w:autoSpaceDN/>
        <w:bidi w:val="0"/>
        <w:adjustRightInd w:val="0"/>
        <w:snapToGrid w:val="0"/>
        <w:spacing w:line="360" w:lineRule="auto"/>
        <w:ind w:left="0" w:leftChars="0" w:firstLine="422" w:firstLineChars="200"/>
        <w:textAlignment w:val="auto"/>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招标文件构成</w:t>
      </w:r>
    </w:p>
    <w:p>
      <w:pPr>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本招标文件包括目录所示内容及</w:t>
      </w: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招标文件澄清、修改</w:t>
      </w:r>
      <w:r>
        <w:rPr>
          <w:rFonts w:hint="eastAsia" w:ascii="宋体" w:hAnsi="宋体" w:eastAsia="宋体" w:cs="宋体"/>
          <w:snapToGrid w:val="0"/>
          <w:color w:val="000000" w:themeColor="text1"/>
          <w:kern w:val="0"/>
          <w:sz w:val="21"/>
          <w:szCs w:val="21"/>
          <w14:textFill>
            <w14:solidFill>
              <w14:schemeClr w14:val="tx1"/>
            </w14:solidFill>
          </w14:textFill>
        </w:rPr>
        <w:t>发出的补充资料。</w:t>
      </w:r>
    </w:p>
    <w:p>
      <w:pPr>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除上述所列内容外，招标人的任何工作人员对投标人所作的任何口头解释、介绍、答复，只能供投标人参考，对招标人和投标人无任何约束力。</w:t>
      </w:r>
    </w:p>
    <w:p>
      <w:pPr>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招标文件是招标过程进行的有效依据，也是中标后签订合同的依据，对双方均具有约束力，凡不遵守招标文件规定或对招标文件的实质性内容不响应的，将可能被拒绝或以无效标处理。</w:t>
      </w:r>
    </w:p>
    <w:p>
      <w:pPr>
        <w:pageBreakBefore w:val="0"/>
        <w:widowControl w:val="0"/>
        <w:numPr>
          <w:ilvl w:val="0"/>
          <w:numId w:val="14"/>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本招标文件由招标人依据相关法律、法规、规章、省市规定及招标文件进行解释。</w:t>
      </w:r>
    </w:p>
    <w:p>
      <w:pPr>
        <w:pageBreakBefore w:val="0"/>
        <w:widowControl w:val="0"/>
        <w:numPr>
          <w:ilvl w:val="0"/>
          <w:numId w:val="13"/>
        </w:numPr>
        <w:kinsoku/>
        <w:wordWrap/>
        <w:overflowPunct/>
        <w:topLinePunct w:val="0"/>
        <w:autoSpaceDE/>
        <w:autoSpaceDN/>
        <w:bidi w:val="0"/>
        <w:adjustRightInd w:val="0"/>
        <w:snapToGrid w:val="0"/>
        <w:spacing w:line="360" w:lineRule="auto"/>
        <w:ind w:left="0" w:leftChars="0" w:firstLine="422" w:firstLineChars="200"/>
        <w:textAlignment w:val="auto"/>
        <w:rPr>
          <w:rFonts w:hint="eastAsia" w:ascii="宋体" w:hAnsi="宋体" w:eastAsia="宋体" w:cs="宋体"/>
          <w:b/>
          <w:snapToGrid w:val="0"/>
          <w:color w:val="000000" w:themeColor="text1"/>
          <w:kern w:val="0"/>
          <w:sz w:val="21"/>
          <w:szCs w:val="21"/>
          <w14:textFill>
            <w14:solidFill>
              <w14:schemeClr w14:val="tx1"/>
            </w14:solidFill>
          </w14:textFill>
        </w:rPr>
      </w:pPr>
      <w:r>
        <w:rPr>
          <w:rFonts w:hint="eastAsia" w:ascii="宋体" w:hAnsi="宋体" w:eastAsia="宋体" w:cs="宋体"/>
          <w:b/>
          <w:snapToGrid w:val="0"/>
          <w:color w:val="000000" w:themeColor="text1"/>
          <w:kern w:val="0"/>
          <w:sz w:val="21"/>
          <w:szCs w:val="21"/>
          <w14:textFill>
            <w14:solidFill>
              <w14:schemeClr w14:val="tx1"/>
            </w14:solidFill>
          </w14:textFill>
        </w:rPr>
        <w:t>招标文件的澄清</w:t>
      </w:r>
    </w:p>
    <w:p>
      <w:pPr>
        <w:pageBreakBefore w:val="0"/>
        <w:widowControl w:val="0"/>
        <w:numPr>
          <w:ilvl w:val="0"/>
          <w:numId w:val="15"/>
        </w:numPr>
        <w:kinsoku/>
        <w:wordWrap/>
        <w:overflowPunct/>
        <w:topLinePunct w:val="0"/>
        <w:autoSpaceDE/>
        <w:autoSpaceDN/>
        <w:bidi w:val="0"/>
        <w:adjustRightInd w:val="0"/>
        <w:snapToGrid w:val="0"/>
        <w:spacing w:line="360" w:lineRule="auto"/>
        <w:ind w:left="0" w:leftChars="0" w:firstLine="420" w:firstLineChars="200"/>
        <w:textAlignment w:val="auto"/>
        <w:rPr>
          <w:rFonts w:hint="eastAsia" w:ascii="宋体" w:hAnsi="宋体" w:eastAsia="宋体" w:cs="宋体"/>
          <w:snapToGrid w:val="0"/>
          <w:color w:val="000000" w:themeColor="text1"/>
          <w:kern w:val="0"/>
          <w:szCs w:val="21"/>
          <w:highlight w:val="none"/>
          <w14:textFill>
            <w14:solidFill>
              <w14:schemeClr w14:val="tx1"/>
            </w14:solidFill>
          </w14:textFill>
        </w:rPr>
      </w:pPr>
      <w:r>
        <w:rPr>
          <w:rFonts w:hint="eastAsia" w:ascii="宋体" w:hAnsi="宋体" w:eastAsia="宋体" w:cs="宋体"/>
          <w:snapToGrid w:val="0"/>
          <w:color w:val="000000" w:themeColor="text1"/>
          <w:kern w:val="0"/>
          <w:sz w:val="21"/>
          <w:szCs w:val="21"/>
          <w14:textFill>
            <w14:solidFill>
              <w14:schemeClr w14:val="tx1"/>
            </w14:solidFill>
          </w14:textFill>
        </w:rPr>
        <w:t>投标人在收到招标文件后，若有问题需要澄清或认为有必要与招标人进行技术交流，应于前</w:t>
      </w:r>
      <w:r>
        <w:rPr>
          <w:rFonts w:hint="eastAsia" w:ascii="宋体" w:hAnsi="宋体" w:eastAsia="宋体" w:cs="宋体"/>
          <w:snapToGrid w:val="0"/>
          <w:color w:val="000000" w:themeColor="text1"/>
          <w:kern w:val="0"/>
          <w:szCs w:val="21"/>
          <w14:textFill>
            <w14:solidFill>
              <w14:schemeClr w14:val="tx1"/>
            </w14:solidFill>
          </w14:textFill>
        </w:rPr>
        <w:t>附表规定的时间前，将问题</w:t>
      </w:r>
      <w:r>
        <w:rPr>
          <w:rFonts w:hint="eastAsia" w:ascii="宋体" w:hAnsi="宋体" w:eastAsia="宋体" w:cs="宋体"/>
          <w:snapToGrid w:val="0"/>
          <w:color w:val="000000" w:themeColor="text1"/>
          <w:kern w:val="0"/>
          <w:szCs w:val="21"/>
          <w:lang w:val="en-US" w:eastAsia="zh-CN"/>
          <w14:textFill>
            <w14:solidFill>
              <w14:schemeClr w14:val="tx1"/>
            </w14:solidFill>
          </w14:textFill>
        </w:rPr>
        <w:t>反馈</w:t>
      </w:r>
      <w:r>
        <w:rPr>
          <w:rFonts w:hint="eastAsia" w:ascii="宋体" w:hAnsi="宋体" w:eastAsia="宋体" w:cs="宋体"/>
          <w:snapToGrid w:val="0"/>
          <w:color w:val="000000" w:themeColor="text1"/>
          <w:kern w:val="0"/>
          <w:szCs w:val="21"/>
          <w14:textFill>
            <w14:solidFill>
              <w14:schemeClr w14:val="tx1"/>
            </w14:solidFill>
          </w14:textFill>
        </w:rPr>
        <w:t>至</w:t>
      </w: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招标联系人</w:t>
      </w:r>
      <w:r>
        <w:rPr>
          <w:rFonts w:hint="eastAsia" w:ascii="宋体" w:hAnsi="宋体" w:eastAsia="宋体" w:cs="宋体"/>
          <w:snapToGrid w:val="0"/>
          <w:color w:val="000000" w:themeColor="text1"/>
          <w:kern w:val="0"/>
          <w:szCs w:val="21"/>
          <w14:textFill>
            <w14:solidFill>
              <w14:schemeClr w14:val="tx1"/>
            </w14:solidFill>
          </w14:textFill>
        </w:rPr>
        <w:t>，同时将问题发电子邮件至</w:t>
      </w:r>
      <w:r>
        <w:rPr>
          <w:rFonts w:hint="eastAsia" w:ascii="宋体" w:hAnsi="宋体" w:eastAsia="宋体" w:cs="宋体"/>
          <w:snapToGrid w:val="0"/>
          <w:color w:val="000000" w:themeColor="text1"/>
          <w:kern w:val="0"/>
          <w:szCs w:val="21"/>
          <w:highlight w:val="none"/>
          <w:lang w:val="en-US" w:eastAsia="zh-CN"/>
          <w14:textFill>
            <w14:solidFill>
              <w14:schemeClr w14:val="tx1"/>
            </w14:solidFill>
          </w14:textFill>
        </w:rPr>
        <w:t>报名邮箱</w:t>
      </w:r>
      <w:r>
        <w:rPr>
          <w:rFonts w:hint="eastAsia" w:ascii="宋体" w:hAnsi="宋体" w:eastAsia="宋体" w:cs="宋体"/>
          <w:snapToGrid w:val="0"/>
          <w:color w:val="000000" w:themeColor="text1"/>
          <w:kern w:val="0"/>
          <w:szCs w:val="21"/>
          <w:highlight w:val="none"/>
          <w14:textFill>
            <w14:solidFill>
              <w14:schemeClr w14:val="tx1"/>
            </w14:solidFill>
          </w14:textFill>
        </w:rPr>
        <w:t>（电子邮件与书面文件有不一致的，以书面文件为准）。截止期后的疑问将不予受理、答复。</w:t>
      </w:r>
    </w:p>
    <w:p>
      <w:pPr>
        <w:numPr>
          <w:ilvl w:val="0"/>
          <w:numId w:val="15"/>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投标人要求解释或澄清的问题应以书面形式送达，并加盖公章或电子签章或合同章、写明日期。</w:t>
      </w:r>
    </w:p>
    <w:p>
      <w:pPr>
        <w:numPr>
          <w:ilvl w:val="0"/>
          <w:numId w:val="15"/>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所有要求解释或澄清的问题都予以解答，答疑文件与补充文件一起以书面形式告知所有</w:t>
      </w:r>
      <w:r>
        <w:rPr>
          <w:rFonts w:hint="eastAsia" w:ascii="宋体" w:hAnsi="宋体" w:eastAsia="宋体" w:cs="宋体"/>
          <w:snapToGrid w:val="0"/>
          <w:color w:val="000000" w:themeColor="text1"/>
          <w:kern w:val="0"/>
          <w:szCs w:val="21"/>
          <w:lang w:eastAsia="zh-CN"/>
          <w14:textFill>
            <w14:solidFill>
              <w14:schemeClr w14:val="tx1"/>
            </w14:solidFill>
          </w14:textFill>
        </w:rPr>
        <w:t>获取</w:t>
      </w:r>
      <w:r>
        <w:rPr>
          <w:rFonts w:hint="eastAsia" w:ascii="宋体" w:hAnsi="宋体" w:eastAsia="宋体" w:cs="宋体"/>
          <w:snapToGrid w:val="0"/>
          <w:color w:val="000000" w:themeColor="text1"/>
          <w:kern w:val="0"/>
          <w:szCs w:val="21"/>
          <w14:textFill>
            <w14:solidFill>
              <w14:schemeClr w14:val="tx1"/>
            </w14:solidFill>
          </w14:textFill>
        </w:rPr>
        <w:t>招标文件的投标人。</w:t>
      </w:r>
    </w:p>
    <w:p>
      <w:pPr>
        <w:numPr>
          <w:ilvl w:val="0"/>
          <w:numId w:val="13"/>
        </w:numPr>
        <w:adjustRightInd w:val="0"/>
        <w:snapToGrid w:val="0"/>
        <w:spacing w:line="360" w:lineRule="auto"/>
        <w:ind w:left="0" w:leftChars="0" w:firstLine="420" w:firstLineChars="0"/>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招标文件的修改</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投标截止期前3天，由于各种原因，不论是自己主动提出还是答复投标人的澄清要求，招标人可能会以补充文件的形式修改或完善招标文件。补充文件的内容有可能对投标人编制文件投标文件造成影响的，招标人应当按照国家有关规定延长开标时间。</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招标文件的修改将以书面形式，包括邮寄、传真和电传，通知所有</w:t>
      </w:r>
      <w:r>
        <w:rPr>
          <w:rFonts w:hint="eastAsia" w:ascii="宋体" w:hAnsi="宋体" w:eastAsia="宋体" w:cs="宋体"/>
          <w:snapToGrid w:val="0"/>
          <w:color w:val="000000" w:themeColor="text1"/>
          <w:kern w:val="0"/>
          <w:szCs w:val="21"/>
          <w:lang w:val="en-US" w:eastAsia="zh-CN"/>
          <w14:textFill>
            <w14:solidFill>
              <w14:schemeClr w14:val="tx1"/>
            </w14:solidFill>
          </w14:textFill>
        </w:rPr>
        <w:t>获取</w:t>
      </w:r>
      <w:r>
        <w:rPr>
          <w:rFonts w:hint="eastAsia" w:ascii="宋体" w:hAnsi="宋体" w:eastAsia="宋体" w:cs="宋体"/>
          <w:snapToGrid w:val="0"/>
          <w:color w:val="000000" w:themeColor="text1"/>
          <w:kern w:val="0"/>
          <w:szCs w:val="21"/>
          <w14:textFill>
            <w14:solidFill>
              <w14:schemeClr w14:val="tx1"/>
            </w14:solidFill>
          </w14:textFill>
        </w:rPr>
        <w:t>招标文件的投标人，并对其具有约束力。投标人在收到上述通知后，应在24小时内向招标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回函确认。</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在补充文件发布后，如果投标人认为制作投标文件的时间不充分的，必须在收到补充文件24小时内通知招标人。否则，视同投标人有充足时间编制投标文件。</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为使投标人编写投标文件时有充分的时间对招标文件的修改部分进行研究，招标人有权推迟投标截至时间和开标日期，并将此变更书面通知所有</w:t>
      </w:r>
      <w:r>
        <w:rPr>
          <w:rFonts w:hint="eastAsia" w:ascii="宋体" w:hAnsi="宋体" w:eastAsia="宋体" w:cs="宋体"/>
          <w:snapToGrid w:val="0"/>
          <w:color w:val="000000" w:themeColor="text1"/>
          <w:kern w:val="0"/>
          <w:szCs w:val="21"/>
          <w:lang w:val="en-US" w:eastAsia="zh-CN"/>
          <w14:textFill>
            <w14:solidFill>
              <w14:schemeClr w14:val="tx1"/>
            </w14:solidFill>
          </w14:textFill>
        </w:rPr>
        <w:t>获取</w:t>
      </w:r>
      <w:r>
        <w:rPr>
          <w:rFonts w:hint="eastAsia" w:ascii="宋体" w:hAnsi="宋体" w:eastAsia="宋体" w:cs="宋体"/>
          <w:snapToGrid w:val="0"/>
          <w:color w:val="000000" w:themeColor="text1"/>
          <w:kern w:val="0"/>
          <w:szCs w:val="21"/>
          <w14:textFill>
            <w14:solidFill>
              <w14:schemeClr w14:val="tx1"/>
            </w14:solidFill>
          </w14:textFill>
        </w:rPr>
        <w:t>同一招标文件的投标人。</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招标文件澄清、答复、修改、补充的内容为招标文件的组成部分。当招标文件与招标文件的答复、澄清、修改、补充通知就同一内容的表述不一致时，以最后发出的书面文件为准。</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招标文件的澄清、答复、修改或补充都应该通过</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招标单位</w:t>
      </w:r>
      <w:r>
        <w:rPr>
          <w:rFonts w:hint="eastAsia" w:ascii="宋体" w:hAnsi="宋体" w:eastAsia="宋体" w:cs="宋体"/>
          <w:snapToGrid w:val="0"/>
          <w:color w:val="000000" w:themeColor="text1"/>
          <w:kern w:val="0"/>
          <w:szCs w:val="21"/>
          <w14:textFill>
            <w14:solidFill>
              <w14:schemeClr w14:val="tx1"/>
            </w14:solidFill>
          </w14:textFill>
        </w:rPr>
        <w:t>以法定形式发布，除此以外的发布不属于招标文件的组成部分。</w:t>
      </w:r>
    </w:p>
    <w:p>
      <w:pPr>
        <w:numPr>
          <w:ilvl w:val="0"/>
          <w:numId w:val="16"/>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 w:val="21"/>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在招标文件发售截止后，经招标人同意</w:t>
      </w:r>
      <w:r>
        <w:rPr>
          <w:rFonts w:hint="eastAsia" w:ascii="宋体" w:hAnsi="宋体" w:eastAsia="宋体" w:cs="宋体"/>
          <w:snapToGrid w:val="0"/>
          <w:color w:val="000000" w:themeColor="text1"/>
          <w:kern w:val="0"/>
          <w:szCs w:val="21"/>
          <w:lang w:val="en-US" w:eastAsia="zh-CN"/>
          <w14:textFill>
            <w14:solidFill>
              <w14:schemeClr w14:val="tx1"/>
            </w14:solidFill>
          </w14:textFill>
        </w:rPr>
        <w:t>获取</w:t>
      </w:r>
      <w:r>
        <w:rPr>
          <w:rFonts w:hint="eastAsia" w:ascii="宋体" w:hAnsi="宋体" w:eastAsia="宋体" w:cs="宋体"/>
          <w:snapToGrid w:val="0"/>
          <w:color w:val="000000" w:themeColor="text1"/>
          <w:kern w:val="0"/>
          <w:szCs w:val="21"/>
          <w14:textFill>
            <w14:solidFill>
              <w14:schemeClr w14:val="tx1"/>
            </w14:solidFill>
          </w14:textFill>
        </w:rPr>
        <w:t>招标文件的投标人不得对招标文件及其补充文件提出答疑或异议。</w:t>
      </w:r>
      <w:bookmarkStart w:id="264" w:name="_Toc367274979"/>
    </w:p>
    <w:p>
      <w:pPr>
        <w:pStyle w:val="6"/>
        <w:keepNext/>
        <w:keepLines/>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宋体" w:hAnsi="宋体" w:cs="宋体"/>
        </w:rPr>
      </w:pPr>
      <w:bookmarkStart w:id="265" w:name="_Toc25847"/>
      <w:bookmarkStart w:id="266" w:name="_Toc12269"/>
      <w:bookmarkStart w:id="267" w:name="_Toc153"/>
      <w:bookmarkStart w:id="268" w:name="_Toc18497"/>
      <w:bookmarkStart w:id="269" w:name="_Toc4601"/>
      <w:bookmarkStart w:id="270" w:name="_Toc22886"/>
      <w:bookmarkStart w:id="271" w:name="_Toc11442"/>
      <w:bookmarkStart w:id="272" w:name="_Toc7020"/>
      <w:bookmarkStart w:id="273" w:name="_Toc5829"/>
      <w:bookmarkStart w:id="274" w:name="_Toc28938"/>
      <w:bookmarkStart w:id="275" w:name="_Toc6225"/>
      <w:bookmarkStart w:id="276" w:name="_Toc24977"/>
      <w:r>
        <w:rPr>
          <w:rFonts w:hint="eastAsia" w:ascii="宋体" w:hAnsi="宋体" w:cs="宋体"/>
        </w:rPr>
        <w:t>三、投标文件的编制</w:t>
      </w:r>
      <w:bookmarkEnd w:id="246"/>
      <w:bookmarkEnd w:id="247"/>
      <w:bookmarkEnd w:id="264"/>
      <w:bookmarkEnd w:id="265"/>
      <w:bookmarkEnd w:id="266"/>
      <w:bookmarkEnd w:id="267"/>
      <w:bookmarkEnd w:id="268"/>
      <w:bookmarkEnd w:id="269"/>
      <w:bookmarkEnd w:id="270"/>
      <w:bookmarkEnd w:id="271"/>
      <w:bookmarkEnd w:id="272"/>
      <w:bookmarkEnd w:id="273"/>
      <w:bookmarkEnd w:id="274"/>
      <w:bookmarkEnd w:id="275"/>
      <w:bookmarkEnd w:id="276"/>
    </w:p>
    <w:p>
      <w:pPr>
        <w:adjustRightInd w:val="0"/>
        <w:snapToGrid w:val="0"/>
        <w:spacing w:line="360" w:lineRule="auto"/>
        <w:ind w:firstLine="422" w:firstLineChars="200"/>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人应认真阅读招标文件中所有的事项、格式、条款和技术要求等。如果投标人没有按照招标文件要求和规定编制投标文件及提交全部资料，或者投标没有对招标文件中各方面作出实质性响应，其风险应由投标人承担。</w:t>
      </w:r>
    </w:p>
    <w:p>
      <w:pPr>
        <w:numPr>
          <w:ilvl w:val="0"/>
          <w:numId w:val="17"/>
        </w:numPr>
        <w:adjustRightInd w:val="0"/>
        <w:snapToGrid w:val="0"/>
        <w:spacing w:line="360" w:lineRule="auto"/>
        <w:ind w:left="0" w:leftChars="0" w:firstLine="420" w:firstLineChars="0"/>
        <w:rPr>
          <w:rFonts w:hint="eastAsia" w:ascii="宋体" w:hAnsi="宋体" w:eastAsia="宋体" w:cs="宋体"/>
          <w:b/>
          <w:snapToGrid w:val="0"/>
          <w:color w:val="000000" w:themeColor="text1"/>
          <w:kern w:val="0"/>
          <w:szCs w:val="21"/>
          <w:lang w:val="en-US" w:eastAsia="zh-CN"/>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投标文件的语言及计量单位</w:t>
      </w:r>
    </w:p>
    <w:p>
      <w:pPr>
        <w:numPr>
          <w:ilvl w:val="0"/>
          <w:numId w:val="18"/>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及投标人与招标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numPr>
          <w:ilvl w:val="0"/>
          <w:numId w:val="18"/>
        </w:numPr>
        <w:adjustRightInd w:val="0"/>
        <w:snapToGrid w:val="0"/>
        <w:spacing w:line="360" w:lineRule="auto"/>
        <w:ind w:left="0" w:leftChars="0" w:firstLine="420" w:firstLineChars="200"/>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除招标文件另有规定外，投标文件所使用的计量单位，均须采用中华人民共和国法定计量单位，否则视同未响应。</w:t>
      </w:r>
    </w:p>
    <w:p>
      <w:pPr>
        <w:numPr>
          <w:ilvl w:val="0"/>
          <w:numId w:val="17"/>
        </w:numPr>
        <w:adjustRightInd w:val="0"/>
        <w:snapToGrid w:val="0"/>
        <w:spacing w:line="360" w:lineRule="auto"/>
        <w:ind w:left="0" w:leftChars="0" w:firstLine="420" w:firstLineChars="0"/>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投标文件构成</w:t>
      </w:r>
    </w:p>
    <w:p>
      <w:pPr>
        <w:adjustRightInd w:val="0"/>
        <w:snapToGrid w:val="0"/>
        <w:spacing w:line="360" w:lineRule="auto"/>
        <w:ind w:firstLine="420"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投标人向招标人递交的投标文件由商务和技术文件、报价文件三部分组成，</w:t>
      </w:r>
      <w:r>
        <w:rPr>
          <w:rFonts w:hint="eastAsia" w:ascii="宋体" w:hAnsi="宋体" w:eastAsia="宋体" w:cs="宋体"/>
          <w:b/>
          <w:snapToGrid w:val="0"/>
          <w:color w:val="000000" w:themeColor="text1"/>
          <w:kern w:val="0"/>
          <w:szCs w:val="21"/>
          <w14:textFill>
            <w14:solidFill>
              <w14:schemeClr w14:val="tx1"/>
            </w14:solidFill>
          </w14:textFill>
        </w:rPr>
        <w:t>三部分文件建议装订成一册。</w:t>
      </w:r>
    </w:p>
    <w:p>
      <w:pPr>
        <w:numPr>
          <w:ilvl w:val="0"/>
          <w:numId w:val="19"/>
        </w:numPr>
        <w:adjustRightInd w:val="0"/>
        <w:snapToGrid w:val="0"/>
        <w:spacing w:line="360" w:lineRule="auto"/>
        <w:ind w:left="0" w:leftChars="0" w:firstLine="422"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报价文件：</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（1）投标函；</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（2）开标一览表；</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（3）投标报价明细表；</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（4）投标人认为针对报价需要说明的其他文件及资料。</w:t>
      </w:r>
    </w:p>
    <w:p>
      <w:pPr>
        <w:numPr>
          <w:ilvl w:val="0"/>
          <w:numId w:val="19"/>
        </w:numPr>
        <w:adjustRightInd w:val="0"/>
        <w:snapToGrid w:val="0"/>
        <w:spacing w:line="360" w:lineRule="auto"/>
        <w:ind w:left="0" w:leftChars="0" w:firstLine="422"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商务文件</w:t>
      </w:r>
      <w:r>
        <w:rPr>
          <w:rFonts w:hint="eastAsia" w:ascii="宋体" w:hAnsi="宋体" w:eastAsia="宋体" w:cs="宋体"/>
          <w:snapToGrid w:val="0"/>
          <w:color w:val="000000" w:themeColor="text1"/>
          <w:kern w:val="0"/>
          <w:szCs w:val="21"/>
          <w14:textFill>
            <w14:solidFill>
              <w14:schemeClr w14:val="tx1"/>
            </w14:solidFill>
          </w14:textFill>
        </w:rPr>
        <w:t>：</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lang w:eastAsia="zh-CN"/>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（1）投标人基本情况表</w:t>
      </w:r>
      <w:r>
        <w:rPr>
          <w:rFonts w:hint="eastAsia" w:ascii="宋体" w:hAnsi="宋体" w:eastAsia="宋体" w:cs="宋体"/>
          <w:snapToGrid w:val="0"/>
          <w:color w:val="000000" w:themeColor="text1"/>
          <w:kern w:val="0"/>
          <w:szCs w:val="21"/>
          <w:lang w:eastAsia="zh-CN"/>
          <w14:textFill>
            <w14:solidFill>
              <w14:schemeClr w14:val="tx1"/>
            </w14:solidFill>
          </w14:textFill>
        </w:rPr>
        <w:t>；</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w:t>
      </w:r>
      <w:r>
        <w:rPr>
          <w:rFonts w:hint="eastAsia" w:ascii="宋体" w:hAnsi="宋体" w:eastAsia="宋体" w:cs="宋体"/>
          <w:snapToGrid w:val="0"/>
          <w:color w:val="000000" w:themeColor="text1"/>
          <w:kern w:val="0"/>
          <w:szCs w:val="21"/>
          <w:lang w:val="en-US" w:eastAsia="zh-CN"/>
          <w14:textFill>
            <w14:solidFill>
              <w14:schemeClr w14:val="tx1"/>
            </w14:solidFill>
          </w14:textFill>
        </w:rPr>
        <w:t>投标保证金交款凭证复印件（如有）；</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 w:val="21"/>
          <w:szCs w:val="21"/>
          <w:lang w:eastAsia="zh-CN"/>
          <w14:textFill>
            <w14:solidFill>
              <w14:schemeClr w14:val="tx1"/>
            </w14:solidFill>
          </w14:textFill>
        </w:rPr>
      </w:pP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lang w:val="en-US" w:eastAsia="zh-CN"/>
          <w14:textFill>
            <w14:solidFill>
              <w14:schemeClr w14:val="tx1"/>
            </w14:solidFill>
          </w14:textFill>
        </w:rPr>
        <w:t>3</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 w:val="21"/>
          <w:szCs w:val="21"/>
          <w14:textFill>
            <w14:solidFill>
              <w14:schemeClr w14:val="tx1"/>
            </w14:solidFill>
          </w14:textFill>
        </w:rPr>
        <w:t>企业荣誉</w:t>
      </w:r>
      <w:r>
        <w:rPr>
          <w:rFonts w:hint="eastAsia" w:ascii="宋体" w:hAnsi="宋体" w:eastAsia="宋体" w:cs="宋体"/>
          <w:snapToGrid w:val="0"/>
          <w:color w:val="000000" w:themeColor="text1"/>
          <w:kern w:val="0"/>
          <w:sz w:val="21"/>
          <w:szCs w:val="21"/>
          <w:lang w:eastAsia="zh-CN"/>
          <w14:textFill>
            <w14:solidFill>
              <w14:schemeClr w14:val="tx1"/>
            </w14:solidFill>
          </w14:textFill>
        </w:rPr>
        <w:t>；</w:t>
      </w:r>
    </w:p>
    <w:p>
      <w:pPr>
        <w:adjustRightInd/>
        <w:snapToGrid w:val="0"/>
        <w:spacing w:line="360" w:lineRule="auto"/>
        <w:ind w:firstLine="420" w:firstLineChars="200"/>
        <w:jc w:val="left"/>
        <w:rPr>
          <w:rFonts w:hint="eastAsia" w:ascii="宋体" w:hAnsi="宋体" w:eastAsia="宋体" w:cs="宋体"/>
          <w:snapToGrid w:val="0"/>
          <w:color w:val="000000" w:themeColor="text1"/>
          <w:kern w:val="0"/>
          <w:sz w:val="21"/>
          <w:szCs w:val="21"/>
          <w:lang w:val="en-US" w:eastAsia="zh-CN"/>
          <w14:textFill>
            <w14:solidFill>
              <w14:schemeClr w14:val="tx1"/>
            </w14:solidFill>
          </w14:textFill>
        </w:rPr>
      </w:pPr>
      <w:r>
        <w:rPr>
          <w:rFonts w:hint="eastAsia" w:ascii="宋体" w:hAnsi="宋体" w:eastAsia="宋体" w:cs="宋体"/>
          <w:snapToGrid w:val="0"/>
          <w:color w:val="000000" w:themeColor="text1"/>
          <w:kern w:val="0"/>
          <w:sz w:val="21"/>
          <w:szCs w:val="21"/>
          <w:lang w:eastAsia="zh-CN"/>
          <w14:textFill>
            <w14:solidFill>
              <w14:schemeClr w14:val="tx1"/>
            </w14:solidFill>
          </w14:textFill>
        </w:rPr>
        <w:t>（</w:t>
      </w: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4</w:t>
      </w:r>
      <w:r>
        <w:rPr>
          <w:rFonts w:hint="eastAsia" w:ascii="宋体" w:hAnsi="宋体" w:eastAsia="宋体" w:cs="宋体"/>
          <w:snapToGrid w:val="0"/>
          <w:color w:val="000000" w:themeColor="text1"/>
          <w:kern w:val="0"/>
          <w:sz w:val="21"/>
          <w:szCs w:val="21"/>
          <w:lang w:eastAsia="zh-CN"/>
          <w14:textFill>
            <w14:solidFill>
              <w14:schemeClr w14:val="tx1"/>
            </w14:solidFill>
          </w14:textFill>
        </w:rPr>
        <w:t>）</w:t>
      </w:r>
      <w:r>
        <w:rPr>
          <w:rFonts w:hint="eastAsia" w:ascii="宋体" w:hAnsi="宋体" w:eastAsia="宋体" w:cs="宋体"/>
          <w:snapToGrid w:val="0"/>
          <w:color w:val="000000" w:themeColor="text1"/>
          <w:kern w:val="0"/>
          <w:sz w:val="21"/>
          <w:szCs w:val="21"/>
          <w14:textFill>
            <w14:solidFill>
              <w14:schemeClr w14:val="tx1"/>
            </w14:solidFill>
          </w14:textFill>
        </w:rPr>
        <w:t>投标人认为可以证明其能力或业绩的其他材料</w:t>
      </w: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w:t>
      </w:r>
    </w:p>
    <w:p>
      <w:pPr>
        <w:adjustRightInd/>
        <w:snapToGrid w:val="0"/>
        <w:spacing w:line="360" w:lineRule="auto"/>
        <w:ind w:firstLine="420" w:firstLineChars="200"/>
        <w:jc w:val="left"/>
        <w:rPr>
          <w:rFonts w:hint="eastAsia" w:ascii="宋体" w:hAnsi="宋体" w:eastAsia="宋体" w:cs="宋体"/>
          <w:snapToGrid w:val="0"/>
          <w:color w:val="000000" w:themeColor="text1"/>
          <w:kern w:val="0"/>
          <w:szCs w:val="21"/>
          <w:lang w:eastAsia="zh-CN"/>
          <w14:textFill>
            <w14:solidFill>
              <w14:schemeClr w14:val="tx1"/>
            </w14:solidFill>
          </w14:textFill>
        </w:rPr>
      </w:pPr>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（5）</w:t>
      </w:r>
      <w:r>
        <w:rPr>
          <w:rFonts w:hint="eastAsia" w:ascii="宋体" w:hAnsi="宋体" w:eastAsia="宋体" w:cs="宋体"/>
          <w:snapToGrid w:val="0"/>
          <w:color w:val="000000" w:themeColor="text1"/>
          <w:kern w:val="0"/>
          <w:szCs w:val="21"/>
          <w14:textFill>
            <w14:solidFill>
              <w14:schemeClr w14:val="tx1"/>
            </w14:solidFill>
          </w14:textFill>
        </w:rPr>
        <w:t>法定代表人资格证明书及法定代表人授权书，同时须附法定代表人和授权委托代表的有效身份证复印件（法定代表人直接参加投标并对相应文件签字的，只需提供前者）</w:t>
      </w:r>
      <w:r>
        <w:rPr>
          <w:rFonts w:hint="eastAsia" w:ascii="宋体" w:hAnsi="宋体" w:eastAsia="宋体" w:cs="宋体"/>
          <w:snapToGrid w:val="0"/>
          <w:color w:val="000000" w:themeColor="text1"/>
          <w:kern w:val="0"/>
          <w:szCs w:val="21"/>
          <w:lang w:eastAsia="zh-CN"/>
          <w14:textFill>
            <w14:solidFill>
              <w14:schemeClr w14:val="tx1"/>
            </w14:solidFill>
          </w14:textFill>
        </w:rPr>
        <w:t>；</w:t>
      </w:r>
    </w:p>
    <w:p>
      <w:pPr>
        <w:adjustRightInd/>
        <w:snapToGrid w:val="0"/>
        <w:spacing w:line="360" w:lineRule="auto"/>
        <w:ind w:firstLine="420" w:firstLineChars="200"/>
        <w:jc w:val="left"/>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lang w:val="en-US" w:eastAsia="zh-CN"/>
          <w14:textFill>
            <w14:solidFill>
              <w14:schemeClr w14:val="tx1"/>
            </w14:solidFill>
          </w14:textFill>
        </w:rPr>
        <w:t>6</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服务的网点情况表（格式见附件）；</w:t>
      </w:r>
    </w:p>
    <w:p>
      <w:pPr>
        <w:adjustRightInd/>
        <w:snapToGrid w:val="0"/>
        <w:spacing w:line="360" w:lineRule="auto"/>
        <w:ind w:firstLine="420" w:firstLineChars="200"/>
        <w:jc w:val="left"/>
        <w:rPr>
          <w:rFonts w:hint="eastAsia" w:ascii="宋体" w:hAnsi="宋体" w:eastAsia="宋体" w:cs="宋体"/>
          <w:snapToGrid w:val="0"/>
          <w:color w:val="000000" w:themeColor="text1"/>
          <w:kern w:val="0"/>
          <w:szCs w:val="21"/>
          <w:lang w:eastAsia="zh-CN"/>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w:t>
      </w:r>
      <w:r>
        <w:rPr>
          <w:rFonts w:hint="eastAsia" w:ascii="宋体" w:hAnsi="宋体" w:eastAsia="宋体" w:cs="宋体"/>
          <w:snapToGrid w:val="0"/>
          <w:color w:val="000000" w:themeColor="text1"/>
          <w:kern w:val="0"/>
          <w:szCs w:val="21"/>
          <w:lang w:val="en-US" w:eastAsia="zh-CN"/>
          <w14:textFill>
            <w14:solidFill>
              <w14:schemeClr w14:val="tx1"/>
            </w14:solidFill>
          </w14:textFill>
        </w:rPr>
        <w:t>7</w:t>
      </w:r>
      <w:r>
        <w:rPr>
          <w:rFonts w:hint="eastAsia" w:ascii="宋体" w:hAnsi="宋体" w:eastAsia="宋体" w:cs="宋体"/>
          <w:snapToGrid w:val="0"/>
          <w:color w:val="000000" w:themeColor="text1"/>
          <w:kern w:val="0"/>
          <w:szCs w:val="21"/>
          <w14:textFill>
            <w14:solidFill>
              <w14:schemeClr w14:val="tx1"/>
            </w14:solidFill>
          </w14:textFill>
        </w:rPr>
        <w:t>）服务承诺及合理化建议</w:t>
      </w:r>
      <w:r>
        <w:rPr>
          <w:rFonts w:hint="eastAsia" w:ascii="宋体" w:hAnsi="宋体" w:eastAsia="宋体" w:cs="宋体"/>
          <w:snapToGrid w:val="0"/>
          <w:color w:val="000000" w:themeColor="text1"/>
          <w:kern w:val="0"/>
          <w:szCs w:val="21"/>
          <w:lang w:eastAsia="zh-CN"/>
          <w14:textFill>
            <w14:solidFill>
              <w14:schemeClr w14:val="tx1"/>
            </w14:solidFill>
          </w14:textFill>
        </w:rPr>
        <w:t>；</w:t>
      </w:r>
    </w:p>
    <w:p>
      <w:pPr>
        <w:adjustRightInd/>
        <w:snapToGrid w:val="0"/>
        <w:spacing w:line="360" w:lineRule="auto"/>
        <w:ind w:firstLine="420" w:firstLineChars="200"/>
        <w:jc w:val="left"/>
        <w:rPr>
          <w:rFonts w:hint="eastAsia" w:ascii="宋体" w:hAnsi="宋体" w:eastAsia="宋体" w:cs="宋体"/>
          <w:snapToGrid w:val="0"/>
          <w:color w:val="000000" w:themeColor="text1"/>
          <w:kern w:val="0"/>
          <w:szCs w:val="21"/>
          <w:lang w:eastAsia="zh-CN"/>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w:t>
      </w:r>
      <w:r>
        <w:rPr>
          <w:rFonts w:hint="eastAsia" w:ascii="宋体" w:hAnsi="宋体" w:eastAsia="宋体" w:cs="宋体"/>
          <w:snapToGrid w:val="0"/>
          <w:color w:val="000000" w:themeColor="text1"/>
          <w:kern w:val="0"/>
          <w:szCs w:val="21"/>
          <w:lang w:val="en-US" w:eastAsia="zh-CN"/>
          <w14:textFill>
            <w14:solidFill>
              <w14:schemeClr w14:val="tx1"/>
            </w14:solidFill>
          </w14:textFill>
        </w:rPr>
        <w:t>8</w:t>
      </w:r>
      <w:r>
        <w:rPr>
          <w:rFonts w:hint="eastAsia" w:ascii="宋体" w:hAnsi="宋体" w:eastAsia="宋体" w:cs="宋体"/>
          <w:snapToGrid w:val="0"/>
          <w:color w:val="000000" w:themeColor="text1"/>
          <w:kern w:val="0"/>
          <w:szCs w:val="21"/>
          <w14:textFill>
            <w14:solidFill>
              <w14:schemeClr w14:val="tx1"/>
            </w14:solidFill>
          </w14:textFill>
        </w:rPr>
        <w:t>）信用承诺书</w:t>
      </w:r>
      <w:r>
        <w:rPr>
          <w:rFonts w:hint="eastAsia" w:ascii="宋体" w:hAnsi="宋体" w:eastAsia="宋体" w:cs="宋体"/>
          <w:snapToGrid w:val="0"/>
          <w:color w:val="000000" w:themeColor="text1"/>
          <w:kern w:val="0"/>
          <w:szCs w:val="21"/>
          <w:lang w:val="en-US" w:eastAsia="zh-CN"/>
          <w14:textFill>
            <w14:solidFill>
              <w14:schemeClr w14:val="tx1"/>
            </w14:solidFill>
          </w14:textFill>
        </w:rPr>
        <w:t>；</w:t>
      </w:r>
    </w:p>
    <w:p>
      <w:pPr>
        <w:adjustRightInd/>
        <w:snapToGrid w:val="0"/>
        <w:spacing w:line="360" w:lineRule="auto"/>
        <w:ind w:firstLine="420" w:firstLineChars="200"/>
        <w:jc w:val="left"/>
        <w:rPr>
          <w:rFonts w:hint="eastAsia" w:ascii="宋体" w:hAnsi="宋体" w:eastAsia="宋体" w:cs="宋体"/>
          <w:snapToGrid w:val="0"/>
          <w:color w:val="000000" w:themeColor="text1"/>
          <w:kern w:val="0"/>
          <w:szCs w:val="21"/>
          <w:lang w:eastAsia="zh-CN"/>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w:t>
      </w:r>
      <w:r>
        <w:rPr>
          <w:rFonts w:hint="eastAsia" w:ascii="宋体" w:hAnsi="宋体" w:eastAsia="宋体" w:cs="宋体"/>
          <w:snapToGrid w:val="0"/>
          <w:color w:val="000000" w:themeColor="text1"/>
          <w:kern w:val="0"/>
          <w:szCs w:val="21"/>
          <w:lang w:val="en-US" w:eastAsia="zh-CN"/>
          <w14:textFill>
            <w14:solidFill>
              <w14:schemeClr w14:val="tx1"/>
            </w14:solidFill>
          </w14:textFill>
        </w:rPr>
        <w:t>9</w:t>
      </w:r>
      <w:r>
        <w:rPr>
          <w:rFonts w:hint="eastAsia" w:ascii="宋体" w:hAnsi="宋体" w:eastAsia="宋体" w:cs="宋体"/>
          <w:snapToGrid w:val="0"/>
          <w:color w:val="000000" w:themeColor="text1"/>
          <w:kern w:val="0"/>
          <w:szCs w:val="21"/>
          <w14:textFill>
            <w14:solidFill>
              <w14:schemeClr w14:val="tx1"/>
            </w14:solidFill>
          </w14:textFill>
        </w:rPr>
        <w:t>）技术、商务、资信及其他分自评表</w:t>
      </w:r>
      <w:r>
        <w:rPr>
          <w:rFonts w:hint="eastAsia" w:ascii="宋体" w:hAnsi="宋体" w:eastAsia="宋体" w:cs="宋体"/>
          <w:snapToGrid w:val="0"/>
          <w:color w:val="000000" w:themeColor="text1"/>
          <w:kern w:val="0"/>
          <w:szCs w:val="21"/>
          <w:lang w:eastAsia="zh-CN"/>
          <w14:textFill>
            <w14:solidFill>
              <w14:schemeClr w14:val="tx1"/>
            </w14:solidFill>
          </w14:textFill>
        </w:rPr>
        <w:t>；</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w:t>
      </w:r>
      <w:r>
        <w:rPr>
          <w:rFonts w:hint="eastAsia" w:ascii="宋体" w:hAnsi="宋体" w:eastAsia="宋体" w:cs="宋体"/>
          <w:snapToGrid w:val="0"/>
          <w:color w:val="000000" w:themeColor="text1"/>
          <w:kern w:val="0"/>
          <w:szCs w:val="21"/>
          <w:lang w:val="en-US" w:eastAsia="zh-CN"/>
          <w14:textFill>
            <w14:solidFill>
              <w14:schemeClr w14:val="tx1"/>
            </w14:solidFill>
          </w14:textFill>
        </w:rPr>
        <w:t>10</w:t>
      </w:r>
      <w:r>
        <w:rPr>
          <w:rFonts w:hint="eastAsia" w:ascii="宋体" w:hAnsi="宋体" w:eastAsia="宋体" w:cs="宋体"/>
          <w:snapToGrid w:val="0"/>
          <w:color w:val="000000" w:themeColor="text1"/>
          <w:kern w:val="0"/>
          <w:szCs w:val="21"/>
          <w14:textFill>
            <w14:solidFill>
              <w14:schemeClr w14:val="tx1"/>
            </w14:solidFill>
          </w14:textFill>
        </w:rPr>
        <w:t>）如下资格证明文件：</w:t>
      </w:r>
    </w:p>
    <w:p>
      <w:pPr>
        <w:pStyle w:val="45"/>
        <w:numPr>
          <w:ilvl w:val="0"/>
          <w:numId w:val="20"/>
        </w:numPr>
        <w:shd w:val="clear" w:color="auto" w:fill="FFFFFF"/>
        <w:tabs>
          <w:tab w:val="left" w:pos="630"/>
          <w:tab w:val="left" w:pos="840"/>
          <w:tab w:val="left" w:pos="1050"/>
        </w:tabs>
        <w:adjustRightInd w:val="0"/>
        <w:snapToGrid w:val="0"/>
        <w:spacing w:before="0" w:beforeAutospacing="0" w:after="0" w:afterAutospacing="0" w:line="360" w:lineRule="auto"/>
        <w:ind w:hanging="5"/>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具有独立承担民事责任能力的证明材料；</w:t>
      </w:r>
    </w:p>
    <w:p>
      <w:pPr>
        <w:pStyle w:val="45"/>
        <w:tabs>
          <w:tab w:val="left" w:pos="630"/>
          <w:tab w:val="left" w:pos="840"/>
          <w:tab w:val="left" w:pos="1050"/>
        </w:tabs>
        <w:adjustRightInd w:val="0"/>
        <w:snapToGrid w:val="0"/>
        <w:spacing w:before="0" w:beforeAutospacing="0" w:after="0" w:afterAutospacing="0" w:line="360" w:lineRule="auto"/>
        <w:ind w:left="42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投标人须在投标文件中出具符合以下情况的证明材料复印件（五选一）：</w:t>
      </w:r>
    </w:p>
    <w:p>
      <w:pPr>
        <w:pStyle w:val="45"/>
        <w:numPr>
          <w:ilvl w:val="0"/>
          <w:numId w:val="21"/>
        </w:numPr>
        <w:shd w:val="clear" w:color="auto" w:fill="FFFFFF"/>
        <w:tabs>
          <w:tab w:val="left" w:pos="312"/>
        </w:tabs>
        <w:adjustRightInd w:val="0"/>
        <w:snapToGrid w:val="0"/>
        <w:spacing w:before="0" w:beforeAutospacing="0" w:after="0" w:afterAutospacing="0" w:line="360" w:lineRule="auto"/>
        <w:ind w:firstLine="422" w:firstLineChars="20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如投标人是企业（包括合伙企业），提供在工商部门注册的有效“企业法人营业执照”或“营业执照”；</w:t>
      </w:r>
    </w:p>
    <w:p>
      <w:pPr>
        <w:pStyle w:val="45"/>
        <w:numPr>
          <w:ilvl w:val="0"/>
          <w:numId w:val="21"/>
        </w:numPr>
        <w:shd w:val="clear" w:color="auto" w:fill="FFFFFF"/>
        <w:tabs>
          <w:tab w:val="left" w:pos="312"/>
        </w:tabs>
        <w:adjustRightInd w:val="0"/>
        <w:snapToGrid w:val="0"/>
        <w:spacing w:before="0" w:beforeAutospacing="0" w:after="0" w:afterAutospacing="0" w:line="360" w:lineRule="auto"/>
        <w:ind w:firstLine="422" w:firstLineChars="20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如投标人是事业单位，提供有效的“事业单位法人证书”；</w:t>
      </w:r>
    </w:p>
    <w:p>
      <w:pPr>
        <w:pStyle w:val="45"/>
        <w:numPr>
          <w:ilvl w:val="0"/>
          <w:numId w:val="21"/>
        </w:numPr>
        <w:shd w:val="clear" w:color="auto" w:fill="FFFFFF"/>
        <w:tabs>
          <w:tab w:val="left" w:pos="312"/>
        </w:tabs>
        <w:adjustRightInd w:val="0"/>
        <w:snapToGrid w:val="0"/>
        <w:spacing w:before="0" w:beforeAutospacing="0" w:after="0" w:afterAutospacing="0" w:line="360" w:lineRule="auto"/>
        <w:ind w:firstLine="422" w:firstLineChars="20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如投标人是非企业专业服务机构的，提供执业许可证等证明文件；</w:t>
      </w:r>
    </w:p>
    <w:p>
      <w:pPr>
        <w:pStyle w:val="45"/>
        <w:numPr>
          <w:ilvl w:val="0"/>
          <w:numId w:val="21"/>
        </w:numPr>
        <w:shd w:val="clear" w:color="auto" w:fill="FFFFFF"/>
        <w:tabs>
          <w:tab w:val="left" w:pos="312"/>
        </w:tabs>
        <w:adjustRightInd w:val="0"/>
        <w:snapToGrid w:val="0"/>
        <w:spacing w:before="0" w:beforeAutospacing="0" w:after="0" w:afterAutospacing="0" w:line="360" w:lineRule="auto"/>
        <w:ind w:firstLine="422" w:firstLineChars="20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如投标人是个体工商户，提供有效的“个体工商户营业执照”；</w:t>
      </w:r>
    </w:p>
    <w:p>
      <w:pPr>
        <w:pStyle w:val="45"/>
        <w:numPr>
          <w:ilvl w:val="0"/>
          <w:numId w:val="21"/>
        </w:numPr>
        <w:shd w:val="clear" w:color="auto" w:fill="FFFFFF"/>
        <w:tabs>
          <w:tab w:val="left" w:pos="312"/>
        </w:tabs>
        <w:adjustRightInd w:val="0"/>
        <w:snapToGrid w:val="0"/>
        <w:spacing w:before="0" w:beforeAutospacing="0" w:after="0" w:afterAutospacing="0" w:line="360" w:lineRule="auto"/>
        <w:ind w:firstLine="422" w:firstLineChars="20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如投标人是自然人，提供有效的自然人身份证明（居民身份证正反面或公安机关出具的临时居民身份证正反面或港澳台胞证或护照）。</w:t>
      </w:r>
    </w:p>
    <w:p>
      <w:pPr>
        <w:pStyle w:val="45"/>
        <w:tabs>
          <w:tab w:val="left" w:pos="630"/>
          <w:tab w:val="left" w:pos="840"/>
          <w:tab w:val="left" w:pos="1050"/>
        </w:tabs>
        <w:adjustRightInd w:val="0"/>
        <w:snapToGrid w:val="0"/>
        <w:spacing w:before="0" w:beforeAutospacing="0" w:after="0" w:afterAutospacing="0" w:line="360" w:lineRule="auto"/>
        <w:ind w:firstLine="422" w:firstLineChars="200"/>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投标活动，由单位负责人签署相关文件材料。</w:t>
      </w:r>
    </w:p>
    <w:p>
      <w:pPr>
        <w:pStyle w:val="45"/>
        <w:numPr>
          <w:ilvl w:val="0"/>
          <w:numId w:val="20"/>
        </w:numPr>
        <w:shd w:val="clear" w:color="auto" w:fill="FFFFFF"/>
        <w:tabs>
          <w:tab w:val="left" w:pos="630"/>
          <w:tab w:val="left" w:pos="840"/>
          <w:tab w:val="left" w:pos="1050"/>
        </w:tabs>
        <w:adjustRightInd w:val="0"/>
        <w:snapToGrid w:val="0"/>
        <w:spacing w:before="0" w:beforeAutospacing="0" w:after="0" w:afterAutospacing="0" w:line="360" w:lineRule="auto"/>
        <w:ind w:left="5" w:firstLine="415"/>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符合参与投标活动资格条件的承诺函；（参考格式见本文件第六部分）</w:t>
      </w:r>
    </w:p>
    <w:p>
      <w:pPr>
        <w:pStyle w:val="45"/>
        <w:tabs>
          <w:tab w:val="left" w:pos="630"/>
          <w:tab w:val="left" w:pos="840"/>
          <w:tab w:val="left" w:pos="1050"/>
        </w:tabs>
        <w:adjustRightInd w:val="0"/>
        <w:snapToGrid w:val="0"/>
        <w:spacing w:before="0" w:beforeAutospacing="0" w:after="0" w:afterAutospacing="0" w:line="360" w:lineRule="auto"/>
        <w:ind w:firstLine="491" w:firstLineChars="233"/>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特别说明：已完成信用修复的“缴纳税收和社会保障等方面的失信记录”不包含在《承诺函》第3点所述情形内（属于重大违法纪录情形的除外）。</w:t>
      </w:r>
    </w:p>
    <w:p>
      <w:pPr>
        <w:pStyle w:val="45"/>
        <w:numPr>
          <w:ilvl w:val="0"/>
          <w:numId w:val="20"/>
        </w:numPr>
        <w:shd w:val="clear" w:color="auto" w:fill="FFFFFF"/>
        <w:tabs>
          <w:tab w:val="left" w:pos="630"/>
          <w:tab w:val="left" w:pos="840"/>
          <w:tab w:val="left" w:pos="1050"/>
        </w:tabs>
        <w:adjustRightInd w:val="0"/>
        <w:snapToGrid w:val="0"/>
        <w:spacing w:before="0" w:beforeAutospacing="0" w:after="0" w:afterAutospacing="0" w:line="360" w:lineRule="auto"/>
        <w:ind w:hanging="5"/>
        <w:jc w:val="both"/>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商业信誉：</w:t>
      </w:r>
    </w:p>
    <w:p>
      <w:pPr>
        <w:pStyle w:val="45"/>
        <w:numPr>
          <w:ilvl w:val="0"/>
          <w:numId w:val="22"/>
        </w:numPr>
        <w:adjustRightInd w:val="0"/>
        <w:snapToGrid w:val="0"/>
        <w:spacing w:before="0" w:beforeAutospacing="0" w:after="0" w:afterAutospacing="0" w:line="360" w:lineRule="auto"/>
        <w:ind w:left="0" w:leftChars="0" w:firstLine="398" w:firstLineChars="200"/>
        <w:jc w:val="both"/>
        <w:rPr>
          <w:rFonts w:hint="eastAsia" w:ascii="宋体" w:hAnsi="宋体" w:eastAsia="宋体" w:cs="宋体"/>
          <w:b/>
          <w:color w:val="000000" w:themeColor="text1"/>
          <w:spacing w:val="-6"/>
          <w:sz w:val="21"/>
          <w:szCs w:val="21"/>
          <w14:textFill>
            <w14:solidFill>
              <w14:schemeClr w14:val="tx1"/>
            </w14:solidFill>
          </w14:textFill>
        </w:rPr>
      </w:pPr>
      <w:r>
        <w:rPr>
          <w:rFonts w:hint="eastAsia" w:ascii="宋体" w:hAnsi="宋体" w:eastAsia="宋体" w:cs="宋体"/>
          <w:b/>
          <w:color w:val="000000" w:themeColor="text1"/>
          <w:spacing w:val="-6"/>
          <w:sz w:val="21"/>
          <w:szCs w:val="21"/>
          <w14:textFill>
            <w14:solidFill>
              <w14:schemeClr w14:val="tx1"/>
            </w14:solidFill>
          </w14:textFill>
        </w:rPr>
        <w:t>至本项目投标截止时间止未列入失信被执行人、重大税收违法案件当事人名单、政府采购严重违法失信行为记录名单。（</w:t>
      </w:r>
      <w:r>
        <w:rPr>
          <w:rFonts w:hint="eastAsia" w:ascii="宋体" w:hAnsi="宋体" w:eastAsia="宋体" w:cs="宋体"/>
          <w:b/>
          <w:color w:val="000000" w:themeColor="text1"/>
          <w:spacing w:val="-6"/>
          <w:sz w:val="21"/>
          <w:szCs w:val="21"/>
          <w:lang w:val="en-US" w:eastAsia="zh-CN"/>
          <w14:textFill>
            <w14:solidFill>
              <w14:schemeClr w14:val="tx1"/>
            </w14:solidFill>
          </w14:textFill>
        </w:rPr>
        <w:t>招标单位</w:t>
      </w:r>
      <w:r>
        <w:rPr>
          <w:rFonts w:hint="eastAsia" w:ascii="宋体" w:hAnsi="宋体" w:eastAsia="宋体" w:cs="宋体"/>
          <w:b/>
          <w:color w:val="000000" w:themeColor="text1"/>
          <w:spacing w:val="-6"/>
          <w:sz w:val="21"/>
          <w:szCs w:val="21"/>
          <w14:textFill>
            <w14:solidFill>
              <w14:schemeClr w14:val="tx1"/>
            </w14:solidFill>
          </w14:textFill>
        </w:rPr>
        <w:t>以开标当日在“信用中国”网站（www.creditchina.gov.cn）、中国政府采购网（www.ccgp.gov.cn）网页查询记录为准）</w:t>
      </w:r>
    </w:p>
    <w:p>
      <w:pPr>
        <w:pStyle w:val="45"/>
        <w:adjustRightInd w:val="0"/>
        <w:snapToGrid w:val="0"/>
        <w:spacing w:before="0" w:beforeAutospacing="0" w:after="0" w:afterAutospacing="0" w:line="360" w:lineRule="auto"/>
        <w:ind w:firstLine="416" w:firstLineChars="209"/>
        <w:jc w:val="both"/>
        <w:rPr>
          <w:rFonts w:hint="eastAsia" w:ascii="宋体" w:hAnsi="宋体" w:eastAsia="宋体" w:cs="宋体"/>
          <w:b/>
          <w:color w:val="000000" w:themeColor="text1"/>
          <w:spacing w:val="-6"/>
          <w:sz w:val="21"/>
          <w:szCs w:val="21"/>
          <w14:textFill>
            <w14:solidFill>
              <w14:schemeClr w14:val="tx1"/>
            </w14:solidFill>
          </w14:textFill>
        </w:rPr>
      </w:pPr>
      <w:r>
        <w:rPr>
          <w:rFonts w:hint="eastAsia" w:ascii="宋体" w:hAnsi="宋体" w:eastAsia="宋体" w:cs="宋体"/>
          <w:b/>
          <w:color w:val="000000" w:themeColor="text1"/>
          <w:spacing w:val="-6"/>
          <w:sz w:val="21"/>
          <w:szCs w:val="21"/>
          <w14:textFill>
            <w14:solidFill>
              <w14:schemeClr w14:val="tx1"/>
            </w14:solidFill>
          </w14:textFill>
        </w:rPr>
        <w:t>经查询列入失信被执行人、重大税收违法案件当事人名单、政府采购严重违法失信行为记录名单，截至本项目开标前三年内因违法经营收到刑事处罚或者责令停产停业、吊销许可证或者执照、较大数额罚款等行政处罚的，其投标无效，无效投标人的信用记录查询结果截图将作为项目材料的组成部分。</w:t>
      </w:r>
    </w:p>
    <w:p>
      <w:pPr>
        <w:pStyle w:val="45"/>
        <w:adjustRightInd w:val="0"/>
        <w:snapToGrid w:val="0"/>
        <w:spacing w:before="0" w:beforeAutospacing="0" w:after="0" w:afterAutospacing="0" w:line="360" w:lineRule="auto"/>
        <w:ind w:firstLine="416" w:firstLineChars="209"/>
        <w:jc w:val="both"/>
        <w:rPr>
          <w:rFonts w:hint="eastAsia" w:ascii="宋体" w:hAnsi="宋体" w:eastAsia="宋体" w:cs="宋体"/>
          <w:b/>
          <w:color w:val="000000" w:themeColor="text1"/>
          <w:spacing w:val="-6"/>
          <w:sz w:val="21"/>
          <w:szCs w:val="21"/>
          <w14:textFill>
            <w14:solidFill>
              <w14:schemeClr w14:val="tx1"/>
            </w14:solidFill>
          </w14:textFill>
        </w:rPr>
      </w:pPr>
      <w:r>
        <w:rPr>
          <w:rFonts w:hint="eastAsia" w:ascii="宋体" w:hAnsi="宋体" w:eastAsia="宋体" w:cs="宋体"/>
          <w:b/>
          <w:color w:val="000000" w:themeColor="text1"/>
          <w:spacing w:val="-6"/>
          <w:sz w:val="21"/>
          <w:szCs w:val="21"/>
          <w14:textFill>
            <w14:solidFill>
              <w14:schemeClr w14:val="tx1"/>
            </w14:solidFill>
          </w14:textFill>
        </w:rPr>
        <w:t>说明：较大数额罚款的认定，以判罚机关所在地或相关部门明确的听证范围为准。</w:t>
      </w:r>
    </w:p>
    <w:p>
      <w:pPr>
        <w:numPr>
          <w:ilvl w:val="0"/>
          <w:numId w:val="22"/>
        </w:numPr>
        <w:tabs>
          <w:tab w:val="left" w:pos="720"/>
        </w:tabs>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特定资格条件对应的证明材料：旅行社业务经营许可证</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上述资格证明文件是评标委员会对投标人资格进行合格性审查的评审依据，投标人应提交上述文件复印件并加盖公章或电子签章或合同章，原件带至评标现场备查。如评审过程中须提供原件及相关材料时，投标人须无条件在规定时间内向评标委员会提供原件及相关材料查验；如发现查验的原件与投标文件中所附的复印件不一致，则视为提供虚假证明材料投标，其投标文件无效；如发现投标人不能在规定时间内向评标委员会提供证明材料原件供查验的，则视为其投标文件所附证明材料缺乏真实性，其投标文件作无效标处理。</w:t>
      </w:r>
    </w:p>
    <w:p>
      <w:pPr>
        <w:numPr>
          <w:ilvl w:val="0"/>
          <w:numId w:val="22"/>
        </w:numPr>
        <w:adjustRightInd w:val="0"/>
        <w:snapToGrid w:val="0"/>
        <w:spacing w:line="360" w:lineRule="auto"/>
        <w:ind w:firstLine="420" w:firstLineChars="2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最近三个月依法缴纳税收和社保费的证明【税费凭证，或者依法缴纳税费或依法免缴税费的证明】（复印件各一份）</w:t>
      </w:r>
      <w:r>
        <w:rPr>
          <w:rFonts w:hint="eastAsia" w:ascii="宋体" w:hAnsi="宋体" w:eastAsia="宋体" w:cs="宋体"/>
          <w:color w:val="000000" w:themeColor="text1"/>
          <w:lang w:eastAsia="zh-CN"/>
          <w14:textFill>
            <w14:solidFill>
              <w14:schemeClr w14:val="tx1"/>
            </w14:solidFill>
          </w14:textFill>
        </w:rPr>
        <w:t>。</w:t>
      </w:r>
    </w:p>
    <w:p>
      <w:pPr>
        <w:numPr>
          <w:ilvl w:val="0"/>
          <w:numId w:val="22"/>
        </w:numPr>
        <w:adjustRightInd w:val="0"/>
        <w:snapToGrid w:val="0"/>
        <w:spacing w:line="360" w:lineRule="auto"/>
        <w:ind w:firstLine="420" w:firstLineChars="200"/>
        <w:rPr>
          <w:rFonts w:hint="default" w:ascii="宋体" w:hAnsi="宋体" w:eastAsia="宋体" w:cs="宋体"/>
          <w:color w:val="000000" w:themeColor="text1"/>
          <w14:textFill>
            <w14:solidFill>
              <w14:schemeClr w14:val="tx1"/>
            </w14:solidFill>
          </w14:textFill>
        </w:rPr>
      </w:pPr>
      <w:r>
        <w:rPr>
          <w:rFonts w:hint="default" w:ascii="宋体" w:hAnsi="宋体" w:eastAsia="宋体" w:cs="宋体"/>
          <w:color w:val="000000" w:themeColor="text1"/>
          <w14:textFill>
            <w14:solidFill>
              <w14:schemeClr w14:val="tx1"/>
            </w14:solidFill>
          </w14:textFill>
        </w:rPr>
        <w:t>近两年度（2022、2023年）企业的财务状况报告或银行资信证明（复印件一份）</w:t>
      </w:r>
    </w:p>
    <w:p>
      <w:pPr>
        <w:numPr>
          <w:ilvl w:val="0"/>
          <w:numId w:val="2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合同条款偏离表</w:t>
      </w:r>
      <w:r>
        <w:rPr>
          <w:rFonts w:hint="eastAsia" w:ascii="宋体" w:hAnsi="宋体" w:eastAsia="宋体" w:cs="宋体"/>
          <w:snapToGrid w:val="0"/>
          <w:color w:val="000000" w:themeColor="text1"/>
          <w:kern w:val="0"/>
          <w:szCs w:val="21"/>
          <w14:textFill>
            <w14:solidFill>
              <w14:schemeClr w14:val="tx1"/>
            </w14:solidFill>
          </w14:textFill>
        </w:rPr>
        <w:t>。</w:t>
      </w:r>
    </w:p>
    <w:p>
      <w:pPr>
        <w:numPr>
          <w:ilvl w:val="0"/>
          <w:numId w:val="22"/>
        </w:numPr>
        <w:adjustRightInd w:val="0"/>
        <w:snapToGrid w:val="0"/>
        <w:spacing w:line="360" w:lineRule="auto"/>
        <w:ind w:left="0" w:leftChars="0" w:firstLine="420" w:firstLineChars="200"/>
        <w:jc w:val="both"/>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类似业绩的证明材料（合同复印件等证明材料等）。</w:t>
      </w:r>
    </w:p>
    <w:p>
      <w:pPr>
        <w:numPr>
          <w:ilvl w:val="0"/>
          <w:numId w:val="2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具备法律、行政法规规定的其他条件的证明材料。</w:t>
      </w:r>
    </w:p>
    <w:p>
      <w:pPr>
        <w:numPr>
          <w:ilvl w:val="0"/>
          <w:numId w:val="19"/>
        </w:numPr>
        <w:adjustRightInd w:val="0"/>
        <w:snapToGrid w:val="0"/>
        <w:spacing w:line="360" w:lineRule="auto"/>
        <w:ind w:left="0" w:leftChars="0" w:firstLine="422"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技术文件，</w:t>
      </w:r>
      <w:r>
        <w:rPr>
          <w:rFonts w:hint="eastAsia" w:ascii="宋体" w:hAnsi="宋体" w:eastAsia="宋体" w:cs="宋体"/>
          <w:snapToGrid w:val="0"/>
          <w:color w:val="000000" w:themeColor="text1"/>
          <w:kern w:val="0"/>
          <w:szCs w:val="21"/>
          <w14:textFill>
            <w14:solidFill>
              <w14:schemeClr w14:val="tx1"/>
            </w14:solidFill>
          </w14:textFill>
        </w:rPr>
        <w:t>内容可以是资料，图表或说明，必须包含但不仅限于以下内容：</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疗休养方案；</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住宿方案；</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餐饮方案；</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服务技术响应表；</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项目实施人员一览表；</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管理制度；</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服务质量保证措施；</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应急措施方案；</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意外保险额度；</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以上内容按照招标文件第六部分附件所附格式填写。没有提供格式的，投标人根据实际情况自行设计并编制</w:t>
      </w:r>
      <w:r>
        <w:rPr>
          <w:rFonts w:hint="eastAsia" w:ascii="宋体" w:hAnsi="宋体" w:eastAsia="宋体" w:cs="宋体"/>
          <w:snapToGrid w:val="0"/>
          <w:color w:val="000000" w:themeColor="text1"/>
          <w:kern w:val="0"/>
          <w:szCs w:val="21"/>
          <w:lang w:eastAsia="zh-CN"/>
          <w14:textFill>
            <w14:solidFill>
              <w14:schemeClr w14:val="tx1"/>
            </w14:solidFill>
          </w14:textFill>
        </w:rPr>
        <w:t>；</w:t>
      </w:r>
    </w:p>
    <w:p>
      <w:pPr>
        <w:keepNext w:val="0"/>
        <w:keepLines w:val="0"/>
        <w:pageBreakBefore w:val="0"/>
        <w:widowControl w:val="0"/>
        <w:numPr>
          <w:ilvl w:val="0"/>
          <w:numId w:val="23"/>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投标人认为需要提供的其它与评分有关的文件及资料</w:t>
      </w:r>
      <w:r>
        <w:rPr>
          <w:rFonts w:hint="eastAsia" w:ascii="宋体" w:hAnsi="宋体" w:eastAsia="宋体" w:cs="宋体"/>
          <w:color w:val="000000" w:themeColor="text1"/>
          <w:szCs w:val="21"/>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left="420" w:leftChars="200" w:firstLine="0" w:firstLineChars="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b/>
          <w:color w:val="auto"/>
        </w:rPr>
        <w:t>▲</w:t>
      </w:r>
      <w:r>
        <w:rPr>
          <w:b/>
          <w:bCs/>
          <w:color w:val="auto"/>
        </w:rPr>
        <w:t>注：法定代表人授权委托书、投标函、开标一览表必须由法定代表人签名并加盖单位公章。</w:t>
      </w:r>
    </w:p>
    <w:p>
      <w:pPr>
        <w:numPr>
          <w:ilvl w:val="0"/>
          <w:numId w:val="17"/>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投标函</w:t>
      </w:r>
    </w:p>
    <w:p>
      <w:pPr>
        <w:numPr>
          <w:ilvl w:val="0"/>
          <w:numId w:val="24"/>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投标人应完整地填写招标文件中提供的投标函和投标相关附件。</w:t>
      </w:r>
    </w:p>
    <w:p>
      <w:pPr>
        <w:numPr>
          <w:ilvl w:val="0"/>
          <w:numId w:val="24"/>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投标文件应当对招标文件中有关投标有效期、招标需求等实质性内容作出响应。投标人在满足招标文件实质性要求的基础上，可以提出比招标文件要求更有利于招标人的承诺。</w:t>
      </w:r>
    </w:p>
    <w:p>
      <w:pPr>
        <w:numPr>
          <w:ilvl w:val="0"/>
          <w:numId w:val="17"/>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投标报价</w:t>
      </w:r>
    </w:p>
    <w:p>
      <w:pPr>
        <w:numPr>
          <w:ilvl w:val="0"/>
          <w:numId w:val="25"/>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本项目由投标人按文件要求,并按规定的要求进行报价</w:t>
      </w:r>
      <w:r>
        <w:rPr>
          <w:rFonts w:hint="eastAsia" w:ascii="宋体" w:hAnsi="宋体" w:eastAsia="宋体" w:cs="宋体"/>
          <w:b/>
          <w:snapToGrid w:val="0"/>
          <w:color w:val="000000" w:themeColor="text1"/>
          <w:kern w:val="0"/>
          <w:szCs w:val="21"/>
          <w14:textFill>
            <w14:solidFill>
              <w14:schemeClr w14:val="tx1"/>
            </w14:solidFill>
          </w14:textFill>
        </w:rPr>
        <w:t>。</w:t>
      </w:r>
    </w:p>
    <w:p>
      <w:pPr>
        <w:numPr>
          <w:ilvl w:val="0"/>
          <w:numId w:val="25"/>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本项目为</w:t>
      </w:r>
      <w:r>
        <w:rPr>
          <w:rFonts w:hint="eastAsia" w:ascii="宋体" w:hAnsi="宋体" w:eastAsia="宋体" w:cs="宋体"/>
          <w:snapToGrid w:val="0"/>
          <w:color w:val="000000" w:themeColor="text1"/>
          <w:kern w:val="0"/>
          <w:szCs w:val="21"/>
          <w:lang w:eastAsia="zh-CN"/>
          <w14:textFill>
            <w14:solidFill>
              <w14:schemeClr w14:val="tx1"/>
            </w14:solidFill>
          </w14:textFill>
        </w:rPr>
        <w:t>固定单价包干</w:t>
      </w:r>
      <w:r>
        <w:rPr>
          <w:rFonts w:hint="eastAsia" w:ascii="宋体" w:hAnsi="宋体" w:eastAsia="宋体" w:cs="宋体"/>
          <w:snapToGrid w:val="0"/>
          <w:color w:val="000000" w:themeColor="text1"/>
          <w:kern w:val="0"/>
          <w:szCs w:val="21"/>
          <w14:textFill>
            <w14:solidFill>
              <w14:schemeClr w14:val="tx1"/>
            </w14:solidFill>
          </w14:textFill>
        </w:rPr>
        <w:t>项目。</w:t>
      </w:r>
    </w:p>
    <w:p>
      <w:pPr>
        <w:numPr>
          <w:ilvl w:val="0"/>
          <w:numId w:val="25"/>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投标文件中用文字表示的报价与用数字表示的报价不一致时以文字为准。</w:t>
      </w:r>
    </w:p>
    <w:p>
      <w:pPr>
        <w:keepNext w:val="0"/>
        <w:keepLines w:val="0"/>
        <w:pageBreakBefore w:val="0"/>
        <w:widowControl w:val="0"/>
        <w:numPr>
          <w:ilvl w:val="0"/>
          <w:numId w:val="25"/>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投标人应承担其编制报价文件与递交报价文件所涉及的一切费用。不论评标结果如何，招标人在任何情况下无义务和也无责任承担这些费用。</w:t>
      </w:r>
    </w:p>
    <w:p>
      <w:pPr>
        <w:keepNext w:val="0"/>
        <w:keepLines w:val="0"/>
        <w:pageBreakBefore w:val="0"/>
        <w:widowControl w:val="0"/>
        <w:numPr>
          <w:ilvl w:val="0"/>
          <w:numId w:val="25"/>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投标报价是采购文件所确定的采购范围内全部工作内容的价格表现，为含税单人总价</w:t>
      </w:r>
      <w:r>
        <w:rPr>
          <w:rFonts w:hint="eastAsia" w:ascii="宋体" w:hAnsi="宋体" w:eastAsia="宋体" w:cs="宋体"/>
          <w:snapToGrid w:val="0"/>
          <w:color w:val="000000" w:themeColor="text1"/>
          <w:kern w:val="0"/>
          <w:szCs w:val="21"/>
          <w:lang w:eastAsia="zh-CN"/>
          <w14:textFill>
            <w14:solidFill>
              <w14:schemeClr w14:val="tx1"/>
            </w14:solidFill>
          </w14:textFill>
        </w:rPr>
        <w:t>，即在承包本次职工疗休养</w:t>
      </w:r>
      <w:r>
        <w:rPr>
          <w:rFonts w:hint="eastAsia" w:ascii="宋体" w:hAnsi="宋体" w:eastAsia="宋体" w:cs="宋体"/>
          <w:snapToGrid w:val="0"/>
          <w:color w:val="000000" w:themeColor="text1"/>
          <w:kern w:val="0"/>
          <w:szCs w:val="21"/>
          <w:lang w:val="en-US" w:eastAsia="zh-CN"/>
          <w14:textFill>
            <w14:solidFill>
              <w14:schemeClr w14:val="tx1"/>
            </w14:solidFill>
          </w14:textFill>
        </w:rPr>
        <w:t>采购项目</w:t>
      </w:r>
      <w:r>
        <w:rPr>
          <w:rFonts w:hint="eastAsia" w:ascii="宋体" w:hAnsi="宋体" w:eastAsia="宋体" w:cs="宋体"/>
          <w:snapToGrid w:val="0"/>
          <w:color w:val="000000" w:themeColor="text1"/>
          <w:kern w:val="0"/>
          <w:szCs w:val="21"/>
          <w:lang w:eastAsia="zh-CN"/>
          <w14:textFill>
            <w14:solidFill>
              <w14:schemeClr w14:val="tx1"/>
            </w14:solidFill>
          </w14:textFill>
        </w:rPr>
        <w:t>所需的一切人员工资、车、住宿、门票、餐费、交通（</w:t>
      </w:r>
      <w:r>
        <w:rPr>
          <w:rFonts w:hint="eastAsia" w:ascii="宋体" w:hAnsi="宋体" w:eastAsia="宋体" w:cs="宋体"/>
          <w:snapToGrid w:val="0"/>
          <w:color w:val="000000" w:themeColor="text1"/>
          <w:kern w:val="0"/>
          <w:szCs w:val="21"/>
          <w:lang w:val="en-US" w:eastAsia="zh-CN"/>
          <w14:textFill>
            <w14:solidFill>
              <w14:schemeClr w14:val="tx1"/>
            </w14:solidFill>
          </w14:textFill>
        </w:rPr>
        <w:t>包含过路费、燃油费等</w:t>
      </w:r>
      <w:r>
        <w:rPr>
          <w:rFonts w:hint="eastAsia" w:ascii="宋体" w:hAnsi="宋体" w:eastAsia="宋体" w:cs="宋体"/>
          <w:snapToGrid w:val="0"/>
          <w:color w:val="000000" w:themeColor="text1"/>
          <w:kern w:val="0"/>
          <w:szCs w:val="21"/>
          <w:lang w:eastAsia="zh-CN"/>
          <w14:textFill>
            <w14:solidFill>
              <w14:schemeClr w14:val="tx1"/>
            </w14:solidFill>
          </w14:textFill>
        </w:rPr>
        <w:t>）、保险、导游、税费、利润、</w:t>
      </w:r>
      <w:r>
        <w:rPr>
          <w:rFonts w:hint="eastAsia" w:ascii="宋体" w:hAnsi="宋体" w:eastAsia="宋体" w:cs="宋体"/>
          <w:snapToGrid w:val="0"/>
          <w:color w:val="000000" w:themeColor="text1"/>
          <w:kern w:val="0"/>
          <w:szCs w:val="21"/>
          <w14:textFill>
            <w14:solidFill>
              <w14:schemeClr w14:val="tx1"/>
            </w14:solidFill>
          </w14:textFill>
        </w:rPr>
        <w:t>服务人员（导游、司机等）吃、住、行费用、</w:t>
      </w:r>
      <w:r>
        <w:rPr>
          <w:rFonts w:hint="eastAsia" w:ascii="宋体" w:hAnsi="宋体" w:eastAsia="宋体" w:cs="宋体"/>
          <w:snapToGrid w:val="0"/>
          <w:color w:val="000000" w:themeColor="text1"/>
          <w:kern w:val="0"/>
          <w:szCs w:val="21"/>
          <w:lang w:eastAsia="zh-CN"/>
          <w14:textFill>
            <w14:solidFill>
              <w14:schemeClr w14:val="tx1"/>
            </w14:solidFill>
          </w14:textFill>
        </w:rPr>
        <w:t>完成合同所需的一切本身和不可或缺的所有工作开支、政策性文件规定及合同包含的所有风险、责任等各项全部费用，实行固定单价包干，投标供应商应根据上述因素自行考虑含入报价。</w:t>
      </w:r>
      <w:r>
        <w:rPr>
          <w:rFonts w:hint="eastAsia" w:ascii="宋体" w:hAnsi="宋体" w:eastAsia="宋体" w:cs="宋体"/>
          <w:snapToGrid w:val="0"/>
          <w:color w:val="000000" w:themeColor="text1"/>
          <w:kern w:val="0"/>
          <w:szCs w:val="21"/>
          <w14:textFill>
            <w14:solidFill>
              <w14:schemeClr w14:val="tx1"/>
            </w14:solidFill>
          </w14:textFill>
        </w:rPr>
        <w:t>采购人不</w:t>
      </w:r>
      <w:r>
        <w:rPr>
          <w:rFonts w:hint="eastAsia" w:ascii="宋体" w:hAnsi="宋体" w:eastAsia="宋体" w:cs="宋体"/>
          <w:snapToGrid w:val="0"/>
          <w:color w:val="000000" w:themeColor="text1"/>
          <w:kern w:val="0"/>
          <w:szCs w:val="21"/>
          <w:lang w:val="en-US" w:eastAsia="zh-CN"/>
          <w14:textFill>
            <w14:solidFill>
              <w14:schemeClr w14:val="tx1"/>
            </w14:solidFill>
          </w14:textFill>
        </w:rPr>
        <w:t>再</w:t>
      </w:r>
      <w:r>
        <w:rPr>
          <w:rFonts w:hint="eastAsia" w:ascii="宋体" w:hAnsi="宋体" w:eastAsia="宋体" w:cs="宋体"/>
          <w:snapToGrid w:val="0"/>
          <w:color w:val="000000" w:themeColor="text1"/>
          <w:kern w:val="0"/>
          <w:szCs w:val="21"/>
          <w14:textFill>
            <w14:solidFill>
              <w14:schemeClr w14:val="tx1"/>
            </w14:solidFill>
          </w14:textFill>
        </w:rPr>
        <w:t>支付额外费用。投标人估算错误或漏项的风险均由投标人承担。</w:t>
      </w:r>
    </w:p>
    <w:p>
      <w:pPr>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0" w:leftChars="0" w:firstLine="422"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投标货币</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投标人用人民币报价。</w:t>
      </w:r>
    </w:p>
    <w:p>
      <w:pPr>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0" w:leftChars="0" w:firstLine="422"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投标保证金</w:t>
      </w:r>
      <w:r>
        <w:rPr>
          <w:rFonts w:hint="eastAsia" w:ascii="宋体" w:hAnsi="宋体" w:eastAsia="宋体" w:cs="宋体"/>
          <w:b/>
          <w:snapToGrid w:val="0"/>
          <w:color w:val="000000" w:themeColor="text1"/>
          <w:kern w:val="0"/>
          <w:szCs w:val="21"/>
          <w:lang w:eastAsia="zh-CN"/>
          <w14:textFill>
            <w14:solidFill>
              <w14:schemeClr w14:val="tx1"/>
            </w14:solidFill>
          </w14:textFill>
        </w:rPr>
        <w:t>（</w:t>
      </w:r>
      <w:r>
        <w:rPr>
          <w:rFonts w:hint="eastAsia" w:ascii="宋体" w:hAnsi="宋体" w:eastAsia="宋体" w:cs="宋体"/>
          <w:b/>
          <w:snapToGrid w:val="0"/>
          <w:color w:val="000000" w:themeColor="text1"/>
          <w:kern w:val="0"/>
          <w:szCs w:val="21"/>
          <w:lang w:val="en-US" w:eastAsia="zh-CN"/>
          <w14:textFill>
            <w14:solidFill>
              <w14:schemeClr w14:val="tx1"/>
            </w14:solidFill>
          </w14:textFill>
        </w:rPr>
        <w:t>不适用</w:t>
      </w:r>
      <w:r>
        <w:rPr>
          <w:rFonts w:hint="eastAsia" w:ascii="宋体" w:hAnsi="宋体" w:eastAsia="宋体" w:cs="宋体"/>
          <w:b/>
          <w:snapToGrid w:val="0"/>
          <w:color w:val="000000" w:themeColor="text1"/>
          <w:kern w:val="0"/>
          <w:szCs w:val="21"/>
          <w:lang w:eastAsia="zh-CN"/>
          <w14:textFill>
            <w14:solidFill>
              <w14:schemeClr w14:val="tx1"/>
            </w14:solidFill>
          </w14:textFill>
        </w:rPr>
        <w:t>）</w:t>
      </w:r>
    </w:p>
    <w:p>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投标人应提供不少于投标须知前附表中所述金额的投标保证金，此保证金是投标文件的一个组成部分。</w:t>
      </w:r>
    </w:p>
    <w:p>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投标保证金可采用银行汇票或电汇方式，投标人应在投标截止时间之前提交。</w:t>
      </w:r>
    </w:p>
    <w:p>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对于未能按要求提交投标保证金的投标人，招标人可以视为不响应投标而予以拒绝。</w:t>
      </w:r>
    </w:p>
    <w:p>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b w:val="0"/>
          <w:bCs w:val="0"/>
          <w:snapToGrid w:val="0"/>
          <w:color w:val="000000" w:themeColor="text1"/>
          <w:kern w:val="0"/>
          <w:szCs w:val="21"/>
          <w14:textFill>
            <w14:solidFill>
              <w14:schemeClr w14:val="tx1"/>
            </w14:solidFill>
          </w14:textFill>
        </w:rPr>
      </w:pPr>
      <w:r>
        <w:rPr>
          <w:rFonts w:hint="eastAsia" w:ascii="宋体" w:hAnsi="宋体" w:eastAsia="宋体" w:cs="宋体"/>
          <w:b w:val="0"/>
          <w:bCs w:val="0"/>
          <w:color w:val="000000" w:themeColor="text1"/>
          <w:szCs w:val="21"/>
          <w14:textFill>
            <w14:solidFill>
              <w14:schemeClr w14:val="tx1"/>
            </w14:solidFill>
          </w14:textFill>
        </w:rPr>
        <w:t>合同签订后5日内向中标人和未中标的投标人退还投标保证金</w:t>
      </w:r>
      <w:r>
        <w:rPr>
          <w:rFonts w:hint="eastAsia" w:ascii="宋体" w:hAnsi="宋体" w:eastAsia="宋体" w:cs="宋体"/>
          <w:b w:val="0"/>
          <w:bCs w:val="0"/>
          <w:snapToGrid w:val="0"/>
          <w:color w:val="000000" w:themeColor="text1"/>
          <w:kern w:val="0"/>
          <w:szCs w:val="21"/>
          <w14:textFill>
            <w14:solidFill>
              <w14:schemeClr w14:val="tx1"/>
            </w14:solidFill>
          </w14:textFill>
        </w:rPr>
        <w:t>。</w:t>
      </w:r>
    </w:p>
    <w:p>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422"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投标保证金的没收</w:t>
      </w:r>
      <w:r>
        <w:rPr>
          <w:rFonts w:hint="eastAsia" w:ascii="宋体" w:hAnsi="宋体" w:eastAsia="宋体" w:cs="宋体"/>
          <w:b/>
          <w:snapToGrid w:val="0"/>
          <w:color w:val="000000" w:themeColor="text1"/>
          <w:kern w:val="0"/>
          <w:szCs w:val="21"/>
          <w:lang w:eastAsia="zh-CN"/>
          <w14:textFill>
            <w14:solidFill>
              <w14:schemeClr w14:val="tx1"/>
            </w14:solidFill>
          </w14:textFill>
        </w:rPr>
        <w:t>（</w:t>
      </w:r>
      <w:r>
        <w:rPr>
          <w:rFonts w:hint="eastAsia" w:ascii="宋体" w:hAnsi="宋体" w:eastAsia="宋体" w:cs="宋体"/>
          <w:b/>
          <w:snapToGrid w:val="0"/>
          <w:color w:val="000000" w:themeColor="text1"/>
          <w:kern w:val="0"/>
          <w:szCs w:val="21"/>
          <w:lang w:val="en-US" w:eastAsia="zh-CN"/>
          <w14:textFill>
            <w14:solidFill>
              <w14:schemeClr w14:val="tx1"/>
            </w14:solidFill>
          </w14:textFill>
        </w:rPr>
        <w:t>不适用</w:t>
      </w:r>
      <w:r>
        <w:rPr>
          <w:rFonts w:hint="eastAsia" w:ascii="宋体" w:hAnsi="宋体" w:eastAsia="宋体" w:cs="宋体"/>
          <w:b/>
          <w:snapToGrid w:val="0"/>
          <w:color w:val="000000" w:themeColor="text1"/>
          <w:kern w:val="0"/>
          <w:szCs w:val="21"/>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投标人如有下列情况之一者，将被没收投标保证金：</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（1）投标有效期内撤回投标文件的；</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（2）拒绝接受投标文件（包括澄清确认的内容）中已确认的承诺或条款的；</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（3）中标人未能在规定期限内提交履约保证金的；</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（4）中标人在规定期限内因自身原因未能根据要求签订合同的；</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（5）经查实有串通投标、抬标、提供虚假证明材料行为的；</w:t>
      </w:r>
    </w:p>
    <w:p>
      <w:pPr>
        <w:keepNext w:val="0"/>
        <w:keepLines w:val="0"/>
        <w:pageBreakBefore w:val="0"/>
        <w:widowControl w:val="0"/>
        <w:numPr>
          <w:ilvl w:val="0"/>
          <w:numId w:val="26"/>
        </w:numPr>
        <w:kinsoku/>
        <w:wordWrap/>
        <w:overflowPunct/>
        <w:topLinePunct w:val="0"/>
        <w:autoSpaceDE/>
        <w:autoSpaceDN/>
        <w:bidi w:val="0"/>
        <w:adjustRightInd w:val="0"/>
        <w:snapToGrid w:val="0"/>
        <w:spacing w:line="360" w:lineRule="auto"/>
        <w:ind w:left="0" w:leftChars="0" w:firstLine="422"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没收的投标保证金归招标人所有。法律、法规、规章另有规定的，从其规定。</w:t>
      </w:r>
      <w:r>
        <w:rPr>
          <w:rFonts w:hint="eastAsia" w:ascii="宋体" w:hAnsi="宋体" w:eastAsia="宋体" w:cs="宋体"/>
          <w:b/>
          <w:snapToGrid w:val="0"/>
          <w:color w:val="000000" w:themeColor="text1"/>
          <w:kern w:val="0"/>
          <w:szCs w:val="21"/>
          <w:lang w:eastAsia="zh-CN"/>
          <w14:textFill>
            <w14:solidFill>
              <w14:schemeClr w14:val="tx1"/>
            </w14:solidFill>
          </w14:textFill>
        </w:rPr>
        <w:t>（</w:t>
      </w:r>
      <w:r>
        <w:rPr>
          <w:rFonts w:hint="eastAsia" w:ascii="宋体" w:hAnsi="宋体" w:eastAsia="宋体" w:cs="宋体"/>
          <w:b/>
          <w:snapToGrid w:val="0"/>
          <w:color w:val="000000" w:themeColor="text1"/>
          <w:kern w:val="0"/>
          <w:szCs w:val="21"/>
          <w:lang w:val="en-US" w:eastAsia="zh-CN"/>
          <w14:textFill>
            <w14:solidFill>
              <w14:schemeClr w14:val="tx1"/>
            </w14:solidFill>
          </w14:textFill>
        </w:rPr>
        <w:t>不适用</w:t>
      </w:r>
      <w:r>
        <w:rPr>
          <w:rFonts w:hint="eastAsia" w:ascii="宋体" w:hAnsi="宋体" w:eastAsia="宋体" w:cs="宋体"/>
          <w:b/>
          <w:snapToGrid w:val="0"/>
          <w:color w:val="000000" w:themeColor="text1"/>
          <w:kern w:val="0"/>
          <w:szCs w:val="21"/>
          <w:lang w:eastAsia="zh-CN"/>
          <w14:textFill>
            <w14:solidFill>
              <w14:schemeClr w14:val="tx1"/>
            </w14:solidFill>
          </w14:textFill>
        </w:rPr>
        <w:t>）</w:t>
      </w:r>
    </w:p>
    <w:p>
      <w:pPr>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0" w:leftChars="0" w:firstLine="422"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投标有效期</w:t>
      </w:r>
    </w:p>
    <w:p>
      <w:pPr>
        <w:keepNext w:val="0"/>
        <w:keepLines w:val="0"/>
        <w:pageBreakBefore w:val="0"/>
        <w:widowControl w:val="0"/>
        <w:numPr>
          <w:ilvl w:val="0"/>
          <w:numId w:val="2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投标文件在开标之日起</w:t>
      </w:r>
      <w:r>
        <w:rPr>
          <w:rFonts w:hint="eastAsia" w:ascii="宋体" w:hAnsi="宋体" w:eastAsia="宋体" w:cs="宋体"/>
          <w:snapToGrid w:val="0"/>
          <w:color w:val="000000" w:themeColor="text1"/>
          <w:kern w:val="0"/>
          <w:szCs w:val="21"/>
          <w:lang w:val="en-US" w:eastAsia="zh-CN"/>
          <w14:textFill>
            <w14:solidFill>
              <w14:schemeClr w14:val="tx1"/>
            </w14:solidFill>
          </w14:textFill>
        </w:rPr>
        <w:t>15</w:t>
      </w:r>
      <w:r>
        <w:rPr>
          <w:rFonts w:hint="eastAsia" w:ascii="宋体" w:hAnsi="宋体" w:eastAsia="宋体" w:cs="宋体"/>
          <w:snapToGrid w:val="0"/>
          <w:color w:val="000000" w:themeColor="text1"/>
          <w:kern w:val="0"/>
          <w:szCs w:val="21"/>
          <w14:textFill>
            <w14:solidFill>
              <w14:schemeClr w14:val="tx1"/>
            </w14:solidFill>
          </w14:textFill>
        </w:rPr>
        <w:t>0日历天内有效。</w:t>
      </w:r>
    </w:p>
    <w:p>
      <w:pPr>
        <w:keepNext w:val="0"/>
        <w:keepLines w:val="0"/>
        <w:pageBreakBefore w:val="0"/>
        <w:widowControl w:val="0"/>
        <w:numPr>
          <w:ilvl w:val="0"/>
          <w:numId w:val="2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原定投标有效期满之前，如果出现特殊情况，招标人可以以书面形式向投标人提出延长投标有效期的要求。这种要求与答复均应采用书面形式如传真或信件等。投标人可以拒绝接受招标人的这种要求而放弃投标。招标人在接到投标人书面答复后，将在原投标有限期满后</w:t>
      </w:r>
      <w:r>
        <w:rPr>
          <w:rFonts w:hint="eastAsia" w:ascii="宋体" w:hAnsi="宋体" w:eastAsia="宋体" w:cs="宋体"/>
          <w:snapToGrid w:val="0"/>
          <w:color w:val="000000" w:themeColor="text1"/>
          <w:kern w:val="0"/>
          <w:szCs w:val="21"/>
          <w:lang w:val="en-US" w:eastAsia="zh-CN"/>
          <w14:textFill>
            <w14:solidFill>
              <w14:schemeClr w14:val="tx1"/>
            </w14:solidFill>
          </w14:textFill>
        </w:rPr>
        <w:t>三十</w:t>
      </w:r>
      <w:r>
        <w:rPr>
          <w:rFonts w:hint="eastAsia" w:ascii="宋体" w:hAnsi="宋体" w:eastAsia="宋体" w:cs="宋体"/>
          <w:snapToGrid w:val="0"/>
          <w:color w:val="000000" w:themeColor="text1"/>
          <w:kern w:val="0"/>
          <w:szCs w:val="21"/>
          <w14:textFill>
            <w14:solidFill>
              <w14:schemeClr w14:val="tx1"/>
            </w14:solidFill>
          </w14:textFill>
        </w:rPr>
        <w:t>个工作日内无息退还其投标保证金。接受延长投标有效期的投标人将不会被要求和允许修正其投标，而只会被要求相应延长投标保证金的有效期。在这种情况下</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有关投标保证金的退还和没收的规定将在延长了的有效期内继续有效。同时受投标有限期约束的所有权力和义务均延长至新的有限期。</w:t>
      </w:r>
    </w:p>
    <w:p>
      <w:pPr>
        <w:keepNext w:val="0"/>
        <w:keepLines w:val="0"/>
        <w:pageBreakBefore w:val="0"/>
        <w:widowControl w:val="0"/>
        <w:numPr>
          <w:ilvl w:val="0"/>
          <w:numId w:val="2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中标人的投标文件自开标之日起至合同履行完毕止均应保持有效。</w:t>
      </w:r>
    </w:p>
    <w:p>
      <w:pPr>
        <w:keepNext w:val="0"/>
        <w:keepLines w:val="0"/>
        <w:pageBreakBefore w:val="0"/>
        <w:widowControl w:val="0"/>
        <w:numPr>
          <w:ilvl w:val="0"/>
          <w:numId w:val="17"/>
        </w:numPr>
        <w:kinsoku/>
        <w:wordWrap/>
        <w:overflowPunct/>
        <w:topLinePunct w:val="0"/>
        <w:autoSpaceDE/>
        <w:autoSpaceDN/>
        <w:bidi w:val="0"/>
        <w:adjustRightInd w:val="0"/>
        <w:snapToGrid w:val="0"/>
        <w:spacing w:line="360" w:lineRule="auto"/>
        <w:ind w:left="0" w:leftChars="0" w:firstLine="422"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投标文件的式样和签署</w:t>
      </w:r>
    </w:p>
    <w:p>
      <w:pPr>
        <w:keepNext w:val="0"/>
        <w:keepLines w:val="0"/>
        <w:pageBreakBefore w:val="0"/>
        <w:widowControl w:val="0"/>
        <w:numPr>
          <w:ilvl w:val="0"/>
          <w:numId w:val="28"/>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bookmarkStart w:id="277" w:name="_Toc240450080"/>
      <w:bookmarkStart w:id="278" w:name="_Toc251566653"/>
      <w:r>
        <w:rPr>
          <w:rFonts w:hint="eastAsia" w:ascii="宋体" w:hAnsi="宋体" w:eastAsia="宋体" w:cs="宋体"/>
          <w:snapToGrid w:val="0"/>
          <w:color w:val="000000" w:themeColor="text1"/>
          <w:kern w:val="0"/>
          <w:szCs w:val="21"/>
          <w14:textFill>
            <w14:solidFill>
              <w14:schemeClr w14:val="tx1"/>
            </w14:solidFill>
          </w14:textFill>
        </w:rPr>
        <w:t>投标人应按照本招标文件规定的格式和顺序编制、装订投标文件。投标文件内容不完整、编排混乱导致投标文件被误读、漏读，或者在按招标文件规定装订成册的部分查找不到相关内容的，是投标人的责任。</w:t>
      </w:r>
    </w:p>
    <w:p>
      <w:pPr>
        <w:keepNext w:val="0"/>
        <w:keepLines w:val="0"/>
        <w:pageBreakBefore w:val="0"/>
        <w:widowControl w:val="0"/>
        <w:numPr>
          <w:ilvl w:val="0"/>
          <w:numId w:val="28"/>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投标人递交的纸质投标文件包括 “正本”一份、“副本”二份、电子文档一份。每份文件包含商务和技术文件、报价文件三部分内容，其中投标文件的正本必须打印或用不褪色墨水书写，字迹须清晰易于辨认。投标文件的正本和副本有不一致的，以正本为准。</w:t>
      </w:r>
    </w:p>
    <w:p>
      <w:pPr>
        <w:keepNext w:val="0"/>
        <w:keepLines w:val="0"/>
        <w:pageBreakBefore w:val="0"/>
        <w:widowControl w:val="0"/>
        <w:numPr>
          <w:ilvl w:val="0"/>
          <w:numId w:val="28"/>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投标文件的投标函应加盖投标人公章或电子签章或合同章，并经法定代表人或其委托代理人签字。</w:t>
      </w:r>
      <w:r>
        <w:rPr>
          <w:rFonts w:hint="eastAsia" w:ascii="宋体" w:hAnsi="宋体" w:eastAsia="宋体" w:cs="宋体"/>
          <w:b/>
          <w:snapToGrid w:val="0"/>
          <w:color w:val="000000" w:themeColor="text1"/>
          <w:kern w:val="0"/>
          <w:szCs w:val="21"/>
          <w14:textFill>
            <w14:solidFill>
              <w14:schemeClr w14:val="tx1"/>
            </w14:solidFill>
          </w14:textFill>
        </w:rPr>
        <w:t>投标文件中有委托代理人签字或盖章的必须同时提供法定代表人资格证明书及授权委托函（书）</w:t>
      </w:r>
      <w:r>
        <w:rPr>
          <w:rFonts w:hint="eastAsia" w:ascii="宋体" w:hAnsi="宋体" w:eastAsia="宋体" w:cs="宋体"/>
          <w:snapToGrid w:val="0"/>
          <w:color w:val="000000" w:themeColor="text1"/>
          <w:kern w:val="0"/>
          <w:szCs w:val="21"/>
          <w14:textFill>
            <w14:solidFill>
              <w14:schemeClr w14:val="tx1"/>
            </w14:solidFill>
          </w14:textFill>
        </w:rPr>
        <w:t>。法定代表人资格证明书及授权委托函格式、签字、盖章及内容均应符合要求，否则投标文件无效。投标文件正本中依据招标文件要求加盖投标人公章或电子签章或合同章、法定代表人或其委托代理人签字或盖章的地方须为原件。副本可复印正本内容。</w:t>
      </w:r>
    </w:p>
    <w:p>
      <w:pPr>
        <w:numPr>
          <w:ilvl w:val="0"/>
          <w:numId w:val="28"/>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除投标人对错误之处必须修改外，全套投标文件应无涂改或行间插字和增删。修改处须有投标人法定代表人或被授权代表的签字或盖章，否则，评标委员会将不予接受。</w:t>
      </w:r>
    </w:p>
    <w:p>
      <w:pPr>
        <w:numPr>
          <w:ilvl w:val="0"/>
          <w:numId w:val="28"/>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每册目录所示页码应该是该册唯一的页码，其唯一的页码应该与目录所示的页码相吻合。投标人应针对评标细则逐条编制响应内容并标注对应页码，否则招标人不承担因为该项错误导致找不到目录所示内容而漏评或因标书编制质量而被扣分的责任。</w:t>
      </w:r>
    </w:p>
    <w:p>
      <w:pPr>
        <w:pStyle w:val="6"/>
        <w:keepNext/>
        <w:keepLines/>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宋体" w:hAnsi="宋体" w:cs="宋体"/>
        </w:rPr>
      </w:pPr>
      <w:bookmarkStart w:id="279" w:name="_Toc22891"/>
      <w:bookmarkStart w:id="280" w:name="_Toc12114"/>
      <w:bookmarkStart w:id="281" w:name="_Toc7227"/>
      <w:bookmarkStart w:id="282" w:name="_Toc18025"/>
      <w:bookmarkStart w:id="283" w:name="_Toc14415"/>
      <w:bookmarkStart w:id="284" w:name="_Toc17643"/>
      <w:bookmarkStart w:id="285" w:name="_Toc21770"/>
      <w:bookmarkStart w:id="286" w:name="_Toc7719"/>
      <w:bookmarkStart w:id="287" w:name="_Toc8048"/>
      <w:bookmarkStart w:id="288" w:name="_Toc4716"/>
      <w:bookmarkStart w:id="289" w:name="_Toc11119"/>
      <w:bookmarkStart w:id="290" w:name="_Toc46421260"/>
      <w:bookmarkStart w:id="291" w:name="_Toc367274980"/>
      <w:bookmarkStart w:id="292" w:name="_Toc23873"/>
      <w:r>
        <w:rPr>
          <w:rFonts w:hint="eastAsia" w:ascii="宋体" w:hAnsi="宋体" w:cs="宋体"/>
        </w:rPr>
        <w:t>四、投标文件的递交</w:t>
      </w:r>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p>
    <w:p>
      <w:pPr>
        <w:numPr>
          <w:ilvl w:val="0"/>
          <w:numId w:val="29"/>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投标文件的密封与标志</w:t>
      </w:r>
    </w:p>
    <w:p>
      <w:pPr>
        <w:numPr>
          <w:ilvl w:val="0"/>
          <w:numId w:val="30"/>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投标人须将投标文件密封包装。</w:t>
      </w:r>
    </w:p>
    <w:p>
      <w:pPr>
        <w:numPr>
          <w:ilvl w:val="0"/>
          <w:numId w:val="30"/>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密封处加盖投标人公章或电子签章或合同章或密封章。</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密封袋均应注明：</w:t>
      </w:r>
    </w:p>
    <w:p>
      <w:pPr>
        <w:pStyle w:val="23"/>
        <w:spacing w:line="360" w:lineRule="auto"/>
        <w:ind w:left="0" w:rightChars="0" w:firstLine="420" w:firstLineChars="200"/>
        <w:jc w:val="both"/>
        <w:rPr>
          <w:rFonts w:hint="eastAsia" w:ascii="宋体" w:hAnsi="宋体" w:eastAsia="宋体" w:cs="宋体"/>
          <w:snapToGrid w:val="0"/>
          <w:color w:val="000000" w:themeColor="text1"/>
          <w:kern w:val="0"/>
          <w:sz w:val="21"/>
          <w:szCs w:val="21"/>
          <w14:textFill>
            <w14:solidFill>
              <w14:schemeClr w14:val="tx1"/>
            </w14:solidFill>
          </w14:textFill>
        </w:rPr>
      </w:pPr>
      <w:r>
        <w:rPr>
          <w:rFonts w:ascii="宋体" w:hAnsi="宋体" w:eastAsia="宋体" w:cs="宋体"/>
          <w:snapToGrid w:val="0"/>
          <w:color w:val="000000" w:themeColor="text1"/>
          <w:kern w:val="0"/>
          <w:sz w:val="21"/>
          <w:szCs w:val="21"/>
          <w14:textFill>
            <w14:solidFill>
              <w14:schemeClr w14:val="tx1"/>
            </w14:solidFill>
          </w14:textFill>
        </w:rPr>
        <w:t>（1）招标人名称：</w:t>
      </w:r>
    </w:p>
    <w:p>
      <w:pPr>
        <w:pStyle w:val="23"/>
        <w:spacing w:line="360" w:lineRule="auto"/>
        <w:ind w:left="0" w:rightChars="0" w:firstLine="420" w:firstLineChars="200"/>
        <w:jc w:val="both"/>
        <w:rPr>
          <w:rFonts w:hint="eastAsia" w:ascii="宋体" w:hAnsi="宋体" w:eastAsia="宋体" w:cs="宋体"/>
          <w:snapToGrid w:val="0"/>
          <w:color w:val="000000" w:themeColor="text1"/>
          <w:kern w:val="0"/>
          <w:sz w:val="21"/>
          <w:szCs w:val="21"/>
          <w14:textFill>
            <w14:solidFill>
              <w14:schemeClr w14:val="tx1"/>
            </w14:solidFill>
          </w14:textFill>
        </w:rPr>
      </w:pPr>
      <w:r>
        <w:rPr>
          <w:rFonts w:ascii="宋体" w:hAnsi="宋体" w:eastAsia="宋体" w:cs="宋体"/>
          <w:snapToGrid w:val="0"/>
          <w:color w:val="000000" w:themeColor="text1"/>
          <w:kern w:val="0"/>
          <w:sz w:val="21"/>
          <w:szCs w:val="21"/>
          <w14:textFill>
            <w14:solidFill>
              <w14:schemeClr w14:val="tx1"/>
            </w14:solidFill>
          </w14:textFill>
        </w:rPr>
        <w:t>招标人地址：</w:t>
      </w:r>
    </w:p>
    <w:p>
      <w:pPr>
        <w:pStyle w:val="23"/>
        <w:spacing w:line="360" w:lineRule="auto"/>
        <w:ind w:left="0" w:rightChars="0" w:firstLine="420" w:firstLineChars="200"/>
        <w:jc w:val="both"/>
        <w:rPr>
          <w:rFonts w:hint="eastAsia" w:ascii="宋体" w:hAnsi="宋体" w:eastAsia="宋体" w:cs="宋体"/>
          <w:snapToGrid w:val="0"/>
          <w:color w:val="000000" w:themeColor="text1"/>
          <w:kern w:val="0"/>
          <w:sz w:val="21"/>
          <w:szCs w:val="21"/>
          <w:u w:val="single"/>
          <w14:textFill>
            <w14:solidFill>
              <w14:schemeClr w14:val="tx1"/>
            </w14:solidFill>
          </w14:textFill>
        </w:rPr>
      </w:pPr>
      <w:r>
        <w:rPr>
          <w:rFonts w:ascii="宋体" w:hAnsi="宋体" w:eastAsia="宋体" w:cs="宋体"/>
          <w:snapToGrid w:val="0"/>
          <w:color w:val="000000" w:themeColor="text1"/>
          <w:kern w:val="0"/>
          <w:sz w:val="21"/>
          <w:szCs w:val="21"/>
          <w14:textFill>
            <w14:solidFill>
              <w14:schemeClr w14:val="tx1"/>
            </w14:solidFill>
          </w14:textFill>
        </w:rPr>
        <w:t>（2）投标人名称：</w:t>
      </w:r>
    </w:p>
    <w:p>
      <w:pPr>
        <w:pStyle w:val="23"/>
        <w:spacing w:line="360" w:lineRule="auto"/>
        <w:ind w:left="0" w:rightChars="0" w:firstLine="420" w:firstLineChars="200"/>
        <w:jc w:val="both"/>
        <w:rPr>
          <w:rFonts w:hint="eastAsia" w:ascii="宋体" w:hAnsi="宋体" w:eastAsia="宋体" w:cs="宋体"/>
          <w:snapToGrid w:val="0"/>
          <w:color w:val="000000" w:themeColor="text1"/>
          <w:kern w:val="0"/>
          <w:sz w:val="21"/>
          <w:szCs w:val="21"/>
          <w14:textFill>
            <w14:solidFill>
              <w14:schemeClr w14:val="tx1"/>
            </w14:solidFill>
          </w14:textFill>
        </w:rPr>
      </w:pPr>
      <w:r>
        <w:rPr>
          <w:rFonts w:ascii="宋体" w:hAnsi="宋体" w:eastAsia="宋体" w:cs="宋体"/>
          <w:snapToGrid w:val="0"/>
          <w:color w:val="000000" w:themeColor="text1"/>
          <w:kern w:val="0"/>
          <w:sz w:val="21"/>
          <w:szCs w:val="21"/>
          <w14:textFill>
            <w14:solidFill>
              <w14:schemeClr w14:val="tx1"/>
            </w14:solidFill>
          </w14:textFill>
        </w:rPr>
        <w:t>投标人地址：</w:t>
      </w:r>
    </w:p>
    <w:p>
      <w:pPr>
        <w:pStyle w:val="23"/>
        <w:spacing w:line="360" w:lineRule="auto"/>
        <w:ind w:left="0" w:rightChars="0" w:firstLine="420" w:firstLineChars="200"/>
        <w:jc w:val="both"/>
        <w:rPr>
          <w:rFonts w:hint="eastAsia" w:ascii="宋体" w:hAnsi="宋体" w:eastAsia="宋体" w:cs="宋体"/>
          <w:snapToGrid w:val="0"/>
          <w:color w:val="000000" w:themeColor="text1"/>
          <w:kern w:val="0"/>
          <w:sz w:val="21"/>
          <w:szCs w:val="21"/>
          <w14:textFill>
            <w14:solidFill>
              <w14:schemeClr w14:val="tx1"/>
            </w14:solidFill>
          </w14:textFill>
        </w:rPr>
      </w:pPr>
      <w:r>
        <w:rPr>
          <w:rFonts w:ascii="宋体" w:hAnsi="宋体" w:eastAsia="宋体" w:cs="宋体"/>
          <w:snapToGrid w:val="0"/>
          <w:color w:val="000000" w:themeColor="text1"/>
          <w:kern w:val="0"/>
          <w:sz w:val="21"/>
          <w:szCs w:val="21"/>
          <w14:textFill>
            <w14:solidFill>
              <w14:schemeClr w14:val="tx1"/>
            </w14:solidFill>
          </w14:textFill>
        </w:rPr>
        <w:t>（3）项目名称：</w:t>
      </w:r>
    </w:p>
    <w:p>
      <w:pPr>
        <w:pStyle w:val="23"/>
        <w:spacing w:line="360" w:lineRule="auto"/>
        <w:ind w:left="0" w:rightChars="0" w:firstLine="420" w:firstLineChars="200"/>
        <w:jc w:val="both"/>
        <w:rPr>
          <w:rFonts w:hint="eastAsia" w:ascii="宋体" w:hAnsi="宋体" w:eastAsia="宋体" w:cs="宋体"/>
          <w:snapToGrid w:val="0"/>
          <w:color w:val="000000" w:themeColor="text1"/>
          <w:kern w:val="0"/>
          <w:sz w:val="21"/>
          <w:szCs w:val="21"/>
          <w14:textFill>
            <w14:solidFill>
              <w14:schemeClr w14:val="tx1"/>
            </w14:solidFill>
          </w14:textFill>
        </w:rPr>
      </w:pPr>
      <w:r>
        <w:rPr>
          <w:rFonts w:ascii="宋体" w:hAnsi="宋体" w:eastAsia="宋体" w:cs="宋体"/>
          <w:snapToGrid w:val="0"/>
          <w:color w:val="000000" w:themeColor="text1"/>
          <w:kern w:val="0"/>
          <w:sz w:val="21"/>
          <w:szCs w:val="21"/>
          <w14:textFill>
            <w14:solidFill>
              <w14:schemeClr w14:val="tx1"/>
            </w14:solidFill>
          </w14:textFill>
        </w:rPr>
        <w:t>项目编号：</w:t>
      </w:r>
    </w:p>
    <w:p>
      <w:pPr>
        <w:numPr>
          <w:ilvl w:val="0"/>
          <w:numId w:val="30"/>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如果包封没有按上述规定密封并加写标志，招标人对误投或过早启封概不负责。对由此造成的提前开封的投标文件，招标人将予以拒绝，并退还给投标人。</w:t>
      </w:r>
    </w:p>
    <w:p>
      <w:pPr>
        <w:numPr>
          <w:ilvl w:val="0"/>
          <w:numId w:val="29"/>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bookmarkStart w:id="293" w:name="_Toc240450081"/>
      <w:bookmarkStart w:id="294" w:name="_Toc251566654"/>
      <w:r>
        <w:rPr>
          <w:rFonts w:hint="eastAsia" w:ascii="宋体" w:hAnsi="宋体" w:eastAsia="宋体" w:cs="宋体"/>
          <w:b/>
          <w:snapToGrid w:val="0"/>
          <w:color w:val="000000" w:themeColor="text1"/>
          <w:kern w:val="0"/>
          <w:szCs w:val="21"/>
          <w14:textFill>
            <w14:solidFill>
              <w14:schemeClr w14:val="tx1"/>
            </w14:solidFill>
          </w14:textFill>
        </w:rPr>
        <w:t>投标截止期</w:t>
      </w:r>
    </w:p>
    <w:p>
      <w:pPr>
        <w:numPr>
          <w:ilvl w:val="0"/>
          <w:numId w:val="3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投标人应按前附表规定的日期、时间和地点递交投标文件。</w:t>
      </w:r>
    </w:p>
    <w:p>
      <w:pPr>
        <w:numPr>
          <w:ilvl w:val="0"/>
          <w:numId w:val="3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招标人收到投标文件的时间不得迟于投标人须知前附表中规定的截止时间。</w:t>
      </w:r>
    </w:p>
    <w:p>
      <w:pPr>
        <w:numPr>
          <w:ilvl w:val="0"/>
          <w:numId w:val="3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招标人通过修改招标文件适当延长投标截止日期。在此情况下，招标人与投标人受投标截止期制约的所有权利和义务均应延长至新的截止期。</w:t>
      </w:r>
    </w:p>
    <w:p>
      <w:pPr>
        <w:numPr>
          <w:ilvl w:val="0"/>
          <w:numId w:val="29"/>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迟交的投标文件</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招标人将拒绝并原封退回在规定的截止期后收到的任何投标文件。</w:t>
      </w:r>
    </w:p>
    <w:p>
      <w:pPr>
        <w:numPr>
          <w:ilvl w:val="0"/>
          <w:numId w:val="29"/>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投标文件的修改与撤回</w:t>
      </w:r>
    </w:p>
    <w:p>
      <w:pPr>
        <w:numPr>
          <w:ilvl w:val="0"/>
          <w:numId w:val="3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投标人在递交投标文件后，可以在规定的投标截止时间前，以书面的形式通知招标人，修改或撤回其投标文件。</w:t>
      </w:r>
    </w:p>
    <w:p>
      <w:pPr>
        <w:numPr>
          <w:ilvl w:val="0"/>
          <w:numId w:val="3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投标人的修改或撤回通知，应按规定编制、密封、标志和递交（在外层包封上标明“修改”或“撤回”字样）。修改文件同样必须在投标截止时间前送达招标人。</w:t>
      </w:r>
    </w:p>
    <w:p>
      <w:pPr>
        <w:numPr>
          <w:ilvl w:val="0"/>
          <w:numId w:val="3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在投标截止期之后，投标人不得对其投标作任何修改。</w:t>
      </w:r>
    </w:p>
    <w:p>
      <w:pPr>
        <w:numPr>
          <w:ilvl w:val="0"/>
          <w:numId w:val="3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从投标截止期至投标人在投标函格式中确定的投标有效期期满这段时间内，投标人不得撤回其投标，否则其投标保证金将按不予退还。</w:t>
      </w:r>
    </w:p>
    <w:p>
      <w:pPr>
        <w:numPr>
          <w:ilvl w:val="0"/>
          <w:numId w:val="29"/>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无效投标的认定</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实质上没有响应招标文件要求的投标将被视为无效投标。投标人不得通过修正或撤消不合要求的偏离或保留从而使其投标成为实质上响应的投标，但经评标委员会认定属于投标人疏忽、笔误所造成的差错，应当允许其在评标结束之前进行修改或者补正（可以是复印件、传真件等）。修改或者补正投标文件必须以书面形式进行，并应在中标结果公告之前查核原件。限期内不补正或经补正后仍不符合招标文件要求的，应认定其投标无效。投标人修改、补正投标文件后，不影响评标委员会对其投标文件所作的评价和评分结果。</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1.资格性审查，如发现下列情形之一的，评标委员会将</w:t>
      </w:r>
      <w:r>
        <w:rPr>
          <w:rFonts w:hint="eastAsia" w:ascii="宋体" w:hAnsi="宋体" w:eastAsia="宋体" w:cs="宋体"/>
          <w:snapToGrid w:val="0"/>
          <w:color w:val="000000" w:themeColor="text1"/>
          <w:kern w:val="0"/>
          <w:szCs w:val="21"/>
          <w:lang w:val="en-US" w:eastAsia="zh-CN"/>
          <w14:textFill>
            <w14:solidFill>
              <w14:schemeClr w14:val="tx1"/>
            </w14:solidFill>
          </w14:textFill>
        </w:rPr>
        <w:t>有权</w:t>
      </w:r>
      <w:r>
        <w:rPr>
          <w:rFonts w:hint="eastAsia" w:ascii="宋体" w:hAnsi="宋体" w:eastAsia="宋体" w:cs="宋体"/>
          <w:snapToGrid w:val="0"/>
          <w:color w:val="000000" w:themeColor="text1"/>
          <w:kern w:val="0"/>
          <w:szCs w:val="21"/>
          <w14:textFill>
            <w14:solidFill>
              <w14:schemeClr w14:val="tx1"/>
            </w14:solidFill>
          </w14:textFill>
        </w:rPr>
        <w:t>否决其投标：</w:t>
      </w:r>
    </w:p>
    <w:p>
      <w:pPr>
        <w:numPr>
          <w:ilvl w:val="0"/>
          <w:numId w:val="33"/>
        </w:numPr>
        <w:tabs>
          <w:tab w:val="left" w:pos="900"/>
        </w:tabs>
        <w:adjustRightInd w:val="0"/>
        <w:snapToGrid w:val="0"/>
        <w:spacing w:line="360" w:lineRule="auto"/>
        <w:ind w:left="0" w:firstLine="36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资格证明文件不全的或者不符合招标文件标明的资格要求的；</w:t>
      </w:r>
    </w:p>
    <w:p>
      <w:pPr>
        <w:numPr>
          <w:ilvl w:val="0"/>
          <w:numId w:val="33"/>
        </w:numPr>
        <w:tabs>
          <w:tab w:val="left" w:pos="900"/>
        </w:tabs>
        <w:adjustRightInd w:val="0"/>
        <w:snapToGrid w:val="0"/>
        <w:spacing w:line="360" w:lineRule="auto"/>
        <w:ind w:left="0" w:firstLine="36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未按规定交纳投标保证金的（含投标文件中未附投标保证金交纳凭据的）；</w:t>
      </w:r>
    </w:p>
    <w:p>
      <w:pPr>
        <w:numPr>
          <w:ilvl w:val="0"/>
          <w:numId w:val="33"/>
        </w:numPr>
        <w:tabs>
          <w:tab w:val="left" w:pos="900"/>
        </w:tabs>
        <w:adjustRightInd w:val="0"/>
        <w:snapToGrid w:val="0"/>
        <w:spacing w:line="360" w:lineRule="auto"/>
        <w:ind w:left="0" w:firstLine="36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不符合资格条件的其他情形。</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2．符合性审查，如发现下列情形之一的，评标委员会将</w:t>
      </w:r>
      <w:r>
        <w:rPr>
          <w:rFonts w:hint="eastAsia" w:ascii="宋体" w:hAnsi="宋体" w:eastAsia="宋体" w:cs="宋体"/>
          <w:snapToGrid w:val="0"/>
          <w:color w:val="000000" w:themeColor="text1"/>
          <w:kern w:val="0"/>
          <w:szCs w:val="21"/>
          <w:lang w:val="en-US" w:eastAsia="zh-CN"/>
          <w14:textFill>
            <w14:solidFill>
              <w14:schemeClr w14:val="tx1"/>
            </w14:solidFill>
          </w14:textFill>
        </w:rPr>
        <w:t>有权</w:t>
      </w:r>
      <w:r>
        <w:rPr>
          <w:rFonts w:hint="eastAsia" w:ascii="宋体" w:hAnsi="宋体" w:eastAsia="宋体" w:cs="宋体"/>
          <w:snapToGrid w:val="0"/>
          <w:color w:val="000000" w:themeColor="text1"/>
          <w:kern w:val="0"/>
          <w:szCs w:val="21"/>
          <w14:textFill>
            <w14:solidFill>
              <w14:schemeClr w14:val="tx1"/>
            </w14:solidFill>
          </w14:textFill>
        </w:rPr>
        <w:t>否决其投标：</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lang w:val="en-US" w:eastAsia="zh-CN"/>
          <w14:textFill>
            <w14:solidFill>
              <w14:schemeClr w14:val="tx1"/>
            </w14:solidFill>
          </w14:textFill>
        </w:rPr>
        <w:t>投标联合体没有提交共同投标协议；（如有）</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lang w:val="en-US" w:eastAsia="zh-CN"/>
          <w14:textFill>
            <w14:solidFill>
              <w14:schemeClr w14:val="tx1"/>
            </w14:solidFill>
          </w14:textFill>
        </w:rPr>
        <w:t>同一投标人提交两个以上不同的投标文件或者投标报价，但招标文件要求提交备选投标的除外；</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lang w:val="en-US" w:eastAsia="zh-CN"/>
          <w14:textFill>
            <w14:solidFill>
              <w14:schemeClr w14:val="tx1"/>
            </w14:solidFill>
          </w14:textFill>
        </w:rPr>
        <w:t>投标报价低于成本或者高于招标文件设定的最高投标限价；</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lang w:val="en-US" w:eastAsia="zh-CN"/>
          <w14:textFill>
            <w14:solidFill>
              <w14:schemeClr w14:val="tx1"/>
            </w14:solidFill>
          </w14:textFill>
        </w:rPr>
        <w:t>投标人有串通投标、弄虚作假、行贿等违法行为；</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授权委托人与投标文件中授权委托书所载内容有异的；</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投标文件组成漏项或未按规定的格式编制或投标文件正、副本份数不足的；</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投标文件内容弄虚作假的；</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未按招标文件中明确的要求签署、盖章的；</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投标文件的实质性内容未使用中文表述、意思表述不明确、前后矛盾或者使用计量单位不符合招标文件要求的（经评标委员会认定允许其当场更正的笔误或符合澄清要求的除外）；</w:t>
      </w:r>
    </w:p>
    <w:p>
      <w:pPr>
        <w:numPr>
          <w:ilvl w:val="0"/>
          <w:numId w:val="34"/>
        </w:numPr>
        <w:tabs>
          <w:tab w:val="left" w:pos="900"/>
          <w:tab w:val="left" w:pos="937"/>
          <w:tab w:val="left" w:pos="1080"/>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投标文件不响应招标文件标注“</w:t>
      </w:r>
      <w:r>
        <w:rPr>
          <w:rFonts w:hint="eastAsia" w:ascii="宋体" w:hAnsi="宋体" w:eastAsia="宋体" w:cs="宋体"/>
          <w:b/>
          <w:color w:val="000000" w:themeColor="text1"/>
          <w:szCs w:val="21"/>
          <w14:textFill>
            <w14:solidFill>
              <w14:schemeClr w14:val="tx1"/>
            </w14:solidFill>
          </w14:textFill>
        </w:rPr>
        <w:t>▲</w:t>
      </w:r>
      <w:r>
        <w:rPr>
          <w:rFonts w:hint="eastAsia" w:ascii="宋体" w:hAnsi="宋体" w:eastAsia="宋体" w:cs="宋体"/>
          <w:b/>
          <w:bCs/>
          <w:color w:val="000000" w:themeColor="text1"/>
          <w:szCs w:val="21"/>
          <w14:textFill>
            <w14:solidFill>
              <w14:schemeClr w14:val="tx1"/>
            </w14:solidFill>
          </w14:textFill>
        </w:rPr>
        <w:t>”条款要求的；</w:t>
      </w:r>
    </w:p>
    <w:p>
      <w:pPr>
        <w:numPr>
          <w:ilvl w:val="0"/>
          <w:numId w:val="34"/>
        </w:numPr>
        <w:tabs>
          <w:tab w:val="left" w:pos="900"/>
          <w:tab w:val="left" w:pos="937"/>
          <w:tab w:val="left" w:pos="1080"/>
        </w:tabs>
        <w:adjustRightInd w:val="0"/>
        <w:snapToGrid w:val="0"/>
        <w:spacing w:line="360" w:lineRule="auto"/>
        <w:jc w:val="both"/>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 xml:space="preserve">投标文件的关键内容字迹模糊、无法辨认的,或者投标文件中经修正的内容字迹模糊难以辩认或者修改处未按规定签名盖章的； </w:t>
      </w:r>
    </w:p>
    <w:p>
      <w:pPr>
        <w:numPr>
          <w:ilvl w:val="0"/>
          <w:numId w:val="34"/>
        </w:numPr>
        <w:tabs>
          <w:tab w:val="left" w:pos="900"/>
          <w:tab w:val="left" w:pos="937"/>
          <w:tab w:val="left" w:pos="1080"/>
        </w:tabs>
        <w:adjustRightInd w:val="0"/>
        <w:snapToGrid w:val="0"/>
        <w:spacing w:line="360" w:lineRule="auto"/>
        <w:jc w:val="both"/>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投标有效期、交货期或工期、服务期等商务条款不能满足招标文件要求的；</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bookmarkStart w:id="295" w:name="_Toc367274981"/>
      <w:r>
        <w:rPr>
          <w:rFonts w:hint="eastAsia" w:ascii="宋体" w:hAnsi="宋体" w:eastAsia="宋体" w:cs="宋体"/>
          <w:b/>
          <w:snapToGrid w:val="0"/>
          <w:color w:val="000000" w:themeColor="text1"/>
          <w:kern w:val="0"/>
          <w:szCs w:val="21"/>
          <w14:textFill>
            <w14:solidFill>
              <w14:schemeClr w14:val="tx1"/>
            </w14:solidFill>
          </w14:textFill>
        </w:rPr>
        <w:t>投标人改变标的种类或数量的</w:t>
      </w:r>
      <w:r>
        <w:rPr>
          <w:rFonts w:hint="eastAsia" w:ascii="宋体" w:hAnsi="宋体" w:eastAsia="宋体" w:cs="宋体"/>
          <w:b/>
          <w:bCs/>
          <w:color w:val="000000" w:themeColor="text1"/>
          <w:szCs w:val="21"/>
          <w14:textFill>
            <w14:solidFill>
              <w14:schemeClr w14:val="tx1"/>
            </w14:solidFill>
          </w14:textFill>
        </w:rPr>
        <w:t>；</w:t>
      </w:r>
    </w:p>
    <w:p>
      <w:pPr>
        <w:numPr>
          <w:ilvl w:val="0"/>
          <w:numId w:val="34"/>
        </w:numPr>
        <w:tabs>
          <w:tab w:val="left" w:pos="900"/>
          <w:tab w:val="left" w:pos="937"/>
        </w:tabs>
        <w:adjustRightInd w:val="0"/>
        <w:snapToGrid w:val="0"/>
        <w:spacing w:line="360" w:lineRule="auto"/>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法律、法规规定及招标文件规定的其它无效或拒绝情况的。</w:t>
      </w:r>
    </w:p>
    <w:p>
      <w:pPr>
        <w:pStyle w:val="6"/>
        <w:keepNext/>
        <w:keepLines/>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宋体" w:hAnsi="宋体" w:cs="宋体"/>
        </w:rPr>
      </w:pPr>
      <w:bookmarkStart w:id="296" w:name="_Toc24227"/>
      <w:bookmarkStart w:id="297" w:name="_Toc19151"/>
      <w:bookmarkStart w:id="298" w:name="_Toc9935"/>
      <w:bookmarkStart w:id="299" w:name="_Toc10772"/>
      <w:bookmarkStart w:id="300" w:name="_Toc28451"/>
      <w:bookmarkStart w:id="301" w:name="_Toc12916"/>
      <w:bookmarkStart w:id="302" w:name="_Toc28595"/>
      <w:bookmarkStart w:id="303" w:name="_Toc25997"/>
      <w:bookmarkStart w:id="304" w:name="_Toc26879"/>
      <w:bookmarkStart w:id="305" w:name="_Toc28279"/>
      <w:bookmarkStart w:id="306" w:name="_Toc11454"/>
      <w:bookmarkStart w:id="307" w:name="_Toc14162"/>
      <w:r>
        <w:rPr>
          <w:rFonts w:hint="eastAsia" w:ascii="宋体" w:hAnsi="宋体" w:cs="宋体"/>
        </w:rPr>
        <w:t>五、开标与评标</w:t>
      </w:r>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pPr>
        <w:numPr>
          <w:ilvl w:val="0"/>
          <w:numId w:val="35"/>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开标（不见面开标）-详见招标公告</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招标人将于</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招标公告</w:t>
      </w:r>
      <w:r>
        <w:rPr>
          <w:rFonts w:hint="eastAsia" w:ascii="宋体" w:hAnsi="宋体" w:eastAsia="宋体" w:cs="宋体"/>
          <w:snapToGrid w:val="0"/>
          <w:color w:val="000000" w:themeColor="text1"/>
          <w:kern w:val="0"/>
          <w:szCs w:val="21"/>
          <w14:textFill>
            <w14:solidFill>
              <w14:schemeClr w14:val="tx1"/>
            </w14:solidFill>
          </w14:textFill>
        </w:rPr>
        <w:t>规定的时间和地点开标。若招标人按规定，通过修改招标文件更改了开标时间和地点的，以后者为准。</w:t>
      </w:r>
    </w:p>
    <w:p>
      <w:pPr>
        <w:adjustRightInd w:val="0"/>
        <w:snapToGrid w:val="0"/>
        <w:spacing w:line="360" w:lineRule="auto"/>
        <w:ind w:firstLine="422"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如《开标一览表》内容与《投标函》内容不一致的，一律以《开标一览表》为准。</w:t>
      </w:r>
    </w:p>
    <w:p>
      <w:pPr>
        <w:numPr>
          <w:ilvl w:val="0"/>
          <w:numId w:val="35"/>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评标</w:t>
      </w:r>
    </w:p>
    <w:p>
      <w:pPr>
        <w:numPr>
          <w:ilvl w:val="0"/>
          <w:numId w:val="36"/>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评标组织</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评标工作由招标单位负责组织，依法组建由奇数的人员组成的评标委员会，负责对投标文件进行审查、质询、评审等。评标委员会由招标人组建。</w:t>
      </w:r>
    </w:p>
    <w:p>
      <w:pPr>
        <w:numPr>
          <w:ilvl w:val="0"/>
          <w:numId w:val="36"/>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评标纪律</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本次评标工作将在严格保密的情况下进行，评标委员会成员名单在定标前将保密。</w:t>
      </w:r>
    </w:p>
    <w:p>
      <w:pPr>
        <w:numPr>
          <w:ilvl w:val="0"/>
          <w:numId w:val="36"/>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评标办法</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采用综合评分法，详见招标文件第五</w:t>
      </w:r>
      <w:r>
        <w:rPr>
          <w:rFonts w:hint="eastAsia" w:ascii="宋体" w:hAnsi="宋体" w:eastAsia="宋体" w:cs="宋体"/>
          <w:snapToGrid w:val="0"/>
          <w:color w:val="000000" w:themeColor="text1"/>
          <w:kern w:val="0"/>
          <w:szCs w:val="21"/>
          <w:lang w:val="en-US" w:eastAsia="zh-CN"/>
          <w14:textFill>
            <w14:solidFill>
              <w14:schemeClr w14:val="tx1"/>
            </w14:solidFill>
          </w14:textFill>
        </w:rPr>
        <w:t>章</w:t>
      </w:r>
      <w:r>
        <w:rPr>
          <w:rFonts w:hint="eastAsia" w:ascii="宋体" w:hAnsi="宋体" w:eastAsia="宋体" w:cs="宋体"/>
          <w:snapToGrid w:val="0"/>
          <w:color w:val="000000" w:themeColor="text1"/>
          <w:kern w:val="0"/>
          <w:szCs w:val="21"/>
          <w14:textFill>
            <w14:solidFill>
              <w14:schemeClr w14:val="tx1"/>
            </w14:solidFill>
          </w14:textFill>
        </w:rPr>
        <w:t>“评标办法”。</w:t>
      </w:r>
    </w:p>
    <w:p>
      <w:pPr>
        <w:numPr>
          <w:ilvl w:val="0"/>
          <w:numId w:val="36"/>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评标程序</w:t>
      </w:r>
    </w:p>
    <w:p>
      <w:pPr>
        <w:keepNext w:val="0"/>
        <w:keepLines w:val="0"/>
        <w:pageBreakBefore w:val="0"/>
        <w:widowControl w:val="0"/>
        <w:numPr>
          <w:ilvl w:val="0"/>
          <w:numId w:val="3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投标文件初审。初审分为资格性检查和符合性检查。</w:t>
      </w:r>
    </w:p>
    <w:p>
      <w:pPr>
        <w:numPr>
          <w:ilvl w:val="0"/>
          <w:numId w:val="38"/>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资格性检查。依据法律法规和招标文件的规定，对投标文件中的资格证明、投标保证金等进行审查，以确定投标投标人是否具备投标资格。</w:t>
      </w:r>
    </w:p>
    <w:p>
      <w:pPr>
        <w:numPr>
          <w:ilvl w:val="0"/>
          <w:numId w:val="38"/>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符合性检查。依据招标文件的规定，从投标文件的有效性、完整性和对招标文件的响应程度进行审查，以确定是否对招标文件的实质性要求作出响应。</w:t>
      </w:r>
    </w:p>
    <w:p>
      <w:pPr>
        <w:keepNext w:val="0"/>
        <w:keepLines w:val="0"/>
        <w:pageBreakBefore w:val="0"/>
        <w:widowControl w:val="0"/>
        <w:numPr>
          <w:ilvl w:val="0"/>
          <w:numId w:val="3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澄清有关问题。对投标文件中含义不明确、同类问题表述不一致或者有明显文字和计算错误的内容，评标委员会可以书面形式（应当由评标委员会签字）要求投标人作出必要的澄清、说明或者纠正。投标人的澄清、说明或者补正应当采用书面形式，由其授权的代表签字，并不得超出投标文件的范围或者改变投标文件的实质性内容。</w:t>
      </w:r>
    </w:p>
    <w:p>
      <w:pPr>
        <w:adjustRightInd w:val="0"/>
        <w:snapToGrid w:val="0"/>
        <w:spacing w:line="360" w:lineRule="auto"/>
        <w:ind w:firstLine="422" w:firstLineChars="200"/>
        <w:jc w:val="both"/>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授权代表对澄清、说明或者补正内容未签字确认的，将自行承担由此可能导致的对其不利的评审结果，评标委员会按少数服从多数原则对相关内容进行评判。</w:t>
      </w:r>
    </w:p>
    <w:p>
      <w:pPr>
        <w:keepNext w:val="0"/>
        <w:keepLines w:val="0"/>
        <w:pageBreakBefore w:val="0"/>
        <w:widowControl w:val="0"/>
        <w:numPr>
          <w:ilvl w:val="0"/>
          <w:numId w:val="3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比较与评价。按招标文件中规定的评标方法和标准，对资格性检查和符合性检查合格的投标文件进行商务和技术评估，综合比较与评价。</w:t>
      </w:r>
    </w:p>
    <w:p>
      <w:pPr>
        <w:keepNext w:val="0"/>
        <w:keepLines w:val="0"/>
        <w:pageBreakBefore w:val="0"/>
        <w:widowControl w:val="0"/>
        <w:numPr>
          <w:ilvl w:val="0"/>
          <w:numId w:val="3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推荐中标候选投标人名单。</w:t>
      </w:r>
    </w:p>
    <w:p>
      <w:pPr>
        <w:keepNext w:val="0"/>
        <w:keepLines w:val="0"/>
        <w:pageBreakBefore w:val="0"/>
        <w:widowControl w:val="0"/>
        <w:numPr>
          <w:ilvl w:val="0"/>
          <w:numId w:val="37"/>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b w:val="0"/>
          <w:bCs w:val="0"/>
          <w:snapToGrid w:val="0"/>
          <w:color w:val="000000" w:themeColor="text1"/>
          <w:kern w:val="0"/>
          <w:szCs w:val="21"/>
          <w14:textFill>
            <w14:solidFill>
              <w14:schemeClr w14:val="tx1"/>
            </w14:solidFill>
          </w14:textFill>
        </w:rPr>
      </w:pPr>
      <w:r>
        <w:rPr>
          <w:rFonts w:hint="eastAsia" w:ascii="宋体" w:hAnsi="宋体" w:eastAsia="宋体" w:cs="宋体"/>
          <w:b w:val="0"/>
          <w:bCs w:val="0"/>
          <w:snapToGrid w:val="0"/>
          <w:color w:val="000000" w:themeColor="text1"/>
          <w:kern w:val="0"/>
          <w:szCs w:val="21"/>
          <w14:textFill>
            <w14:solidFill>
              <w14:schemeClr w14:val="tx1"/>
            </w14:solidFill>
          </w14:textFill>
        </w:rPr>
        <w:t>编写评标报告。</w:t>
      </w:r>
    </w:p>
    <w:p>
      <w:pPr>
        <w:numPr>
          <w:ilvl w:val="0"/>
          <w:numId w:val="35"/>
        </w:numPr>
        <w:adjustRightInd w:val="0"/>
        <w:snapToGrid w:val="0"/>
        <w:spacing w:line="360" w:lineRule="auto"/>
        <w:ind w:left="0" w:leftChars="0" w:firstLine="422" w:firstLineChars="200"/>
        <w:jc w:val="both"/>
        <w:rPr>
          <w:rFonts w:hint="eastAsia" w:ascii="宋体" w:hAnsi="宋体" w:eastAsia="宋体" w:cs="宋体"/>
          <w:b/>
          <w:snapToGrid w:val="0"/>
          <w:color w:val="auto"/>
          <w:kern w:val="0"/>
          <w:szCs w:val="21"/>
        </w:rPr>
      </w:pPr>
      <w:r>
        <w:rPr>
          <w:rFonts w:hint="eastAsia" w:ascii="宋体" w:hAnsi="宋体" w:eastAsia="宋体" w:cs="宋体"/>
          <w:b/>
          <w:snapToGrid w:val="0"/>
          <w:color w:val="auto"/>
          <w:kern w:val="0"/>
          <w:szCs w:val="21"/>
        </w:rPr>
        <w:t>重新招标和不再招标</w:t>
      </w:r>
    </w:p>
    <w:p>
      <w:pPr>
        <w:numPr>
          <w:ilvl w:val="0"/>
          <w:numId w:val="39"/>
        </w:numPr>
        <w:adjustRightInd w:val="0"/>
        <w:snapToGrid w:val="0"/>
        <w:spacing w:line="360" w:lineRule="auto"/>
        <w:ind w:left="0" w:leftChars="0" w:firstLine="422" w:firstLineChars="200"/>
        <w:jc w:val="both"/>
        <w:rPr>
          <w:rFonts w:hint="eastAsia" w:ascii="宋体" w:hAnsi="宋体" w:eastAsia="宋体" w:cs="宋体"/>
          <w:snapToGrid w:val="0"/>
          <w:color w:val="000000" w:themeColor="text1"/>
          <w:kern w:val="0"/>
          <w:szCs w:val="21"/>
          <w14:textFill>
            <w14:solidFill>
              <w14:schemeClr w14:val="tx1"/>
            </w14:solidFill>
          </w14:textFill>
        </w:rPr>
      </w:pPr>
      <w:bookmarkStart w:id="308" w:name="_Toc240450082"/>
      <w:bookmarkStart w:id="309" w:name="_Toc251566655"/>
      <w:r>
        <w:rPr>
          <w:rFonts w:hint="eastAsia" w:ascii="宋体" w:hAnsi="宋体" w:eastAsia="宋体" w:cs="宋体"/>
          <w:b/>
          <w:snapToGrid w:val="0"/>
          <w:color w:val="000000" w:themeColor="text1"/>
          <w:kern w:val="0"/>
          <w:szCs w:val="21"/>
          <w14:textFill>
            <w14:solidFill>
              <w14:schemeClr w14:val="tx1"/>
            </w14:solidFill>
          </w14:textFill>
        </w:rPr>
        <w:t>有下列情形之一的，招标人将</w:t>
      </w:r>
      <w:r>
        <w:rPr>
          <w:rFonts w:hint="eastAsia" w:ascii="宋体" w:hAnsi="宋体" w:eastAsia="宋体" w:cs="宋体"/>
          <w:b/>
          <w:snapToGrid w:val="0"/>
          <w:color w:val="000000" w:themeColor="text1"/>
          <w:kern w:val="0"/>
          <w:szCs w:val="21"/>
          <w:lang w:val="en-US" w:eastAsia="zh-CN"/>
          <w14:textFill>
            <w14:solidFill>
              <w14:schemeClr w14:val="tx1"/>
            </w14:solidFill>
          </w14:textFill>
        </w:rPr>
        <w:t>延期开标或</w:t>
      </w:r>
      <w:r>
        <w:rPr>
          <w:rFonts w:hint="eastAsia" w:ascii="宋体" w:hAnsi="宋体" w:eastAsia="宋体" w:cs="宋体"/>
          <w:b/>
          <w:snapToGrid w:val="0"/>
          <w:color w:val="000000" w:themeColor="text1"/>
          <w:kern w:val="0"/>
          <w:szCs w:val="21"/>
          <w14:textFill>
            <w14:solidFill>
              <w14:schemeClr w14:val="tx1"/>
            </w14:solidFill>
          </w14:textFill>
        </w:rPr>
        <w:t>重新</w:t>
      </w:r>
      <w:r>
        <w:rPr>
          <w:rFonts w:hint="eastAsia" w:ascii="宋体" w:hAnsi="宋体" w:eastAsia="宋体" w:cs="宋体"/>
          <w:b/>
          <w:snapToGrid w:val="0"/>
          <w:color w:val="000000" w:themeColor="text1"/>
          <w:kern w:val="0"/>
          <w:szCs w:val="21"/>
          <w:lang w:val="en-US" w:eastAsia="zh-CN"/>
          <w14:textFill>
            <w14:solidFill>
              <w14:schemeClr w14:val="tx1"/>
            </w14:solidFill>
          </w14:textFill>
        </w:rPr>
        <w:t>组织</w:t>
      </w:r>
      <w:r>
        <w:rPr>
          <w:rFonts w:hint="eastAsia" w:ascii="宋体" w:hAnsi="宋体" w:eastAsia="宋体" w:cs="宋体"/>
          <w:b/>
          <w:snapToGrid w:val="0"/>
          <w:color w:val="000000" w:themeColor="text1"/>
          <w:kern w:val="0"/>
          <w:szCs w:val="21"/>
          <w14:textFill>
            <w14:solidFill>
              <w14:schemeClr w14:val="tx1"/>
            </w14:solidFill>
          </w14:textFill>
        </w:rPr>
        <w:t>招标</w:t>
      </w:r>
      <w:r>
        <w:rPr>
          <w:rFonts w:hint="eastAsia" w:ascii="宋体" w:hAnsi="宋体" w:eastAsia="宋体" w:cs="宋体"/>
          <w:snapToGrid w:val="0"/>
          <w:color w:val="000000" w:themeColor="text1"/>
          <w:kern w:val="0"/>
          <w:szCs w:val="21"/>
          <w14:textFill>
            <w14:solidFill>
              <w14:schemeClr w14:val="tx1"/>
            </w14:solidFill>
          </w14:textFill>
        </w:rPr>
        <w:t>：</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（1）投标截止时间止，投标人少于</w:t>
      </w:r>
      <w:r>
        <w:rPr>
          <w:rFonts w:hint="eastAsia" w:ascii="宋体" w:hAnsi="宋体" w:eastAsia="宋体" w:cs="宋体"/>
          <w:snapToGrid w:val="0"/>
          <w:color w:val="000000" w:themeColor="text1"/>
          <w:kern w:val="0"/>
          <w:szCs w:val="21"/>
          <w:lang w:val="en-US" w:eastAsia="zh-CN"/>
          <w14:textFill>
            <w14:solidFill>
              <w14:schemeClr w14:val="tx1"/>
            </w14:solidFill>
          </w14:textFill>
        </w:rPr>
        <w:t>6</w:t>
      </w:r>
      <w:r>
        <w:rPr>
          <w:rFonts w:hint="eastAsia" w:ascii="宋体" w:hAnsi="宋体" w:eastAsia="宋体" w:cs="宋体"/>
          <w:snapToGrid w:val="0"/>
          <w:color w:val="000000" w:themeColor="text1"/>
          <w:kern w:val="0"/>
          <w:szCs w:val="21"/>
          <w14:textFill>
            <w14:solidFill>
              <w14:schemeClr w14:val="tx1"/>
            </w14:solidFill>
          </w14:textFill>
        </w:rPr>
        <w:t>个的；</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（2）通过资格性、符合性审查的投标人数量不足的；</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（3）经评标委员会评审后否决所有投标的；</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（4）招标投标过程中，因项目发生变更，现有招标资格条件和项目不符的；</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 xml:space="preserve">（5）出现影响招标公正的违法、违规行为的； </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 xml:space="preserve">（6）中标候选人放弃中标、因不可抗力不履行合同、不按招标文件要求提交履约担保，或者被查实存在影响中标结果的违法行为等情形不符合中标条件的；    </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（7）法律法规规定的其他情形。</w:t>
      </w:r>
    </w:p>
    <w:p>
      <w:pPr>
        <w:numPr>
          <w:ilvl w:val="0"/>
          <w:numId w:val="39"/>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不再招标：</w:t>
      </w:r>
      <w:r>
        <w:rPr>
          <w:rFonts w:hint="eastAsia" w:ascii="宋体" w:hAnsi="宋体" w:eastAsia="宋体" w:cs="宋体"/>
          <w:snapToGrid w:val="0"/>
          <w:color w:val="000000" w:themeColor="text1"/>
          <w:kern w:val="0"/>
          <w:szCs w:val="21"/>
          <w14:textFill>
            <w14:solidFill>
              <w14:schemeClr w14:val="tx1"/>
            </w14:solidFill>
          </w14:textFill>
        </w:rPr>
        <w:t>重新招标后投标人仍少于</w:t>
      </w:r>
      <w:r>
        <w:rPr>
          <w:rFonts w:hint="eastAsia" w:ascii="宋体" w:hAnsi="宋体" w:eastAsia="宋体" w:cs="宋体"/>
          <w:snapToGrid w:val="0"/>
          <w:color w:val="000000" w:themeColor="text1"/>
          <w:kern w:val="0"/>
          <w:szCs w:val="21"/>
          <w:lang w:val="en-US" w:eastAsia="zh-CN"/>
          <w14:textFill>
            <w14:solidFill>
              <w14:schemeClr w14:val="tx1"/>
            </w14:solidFill>
          </w14:textFill>
        </w:rPr>
        <w:t>6</w:t>
      </w:r>
      <w:r>
        <w:rPr>
          <w:rFonts w:hint="eastAsia" w:ascii="宋体" w:hAnsi="宋体" w:eastAsia="宋体" w:cs="宋体"/>
          <w:snapToGrid w:val="0"/>
          <w:color w:val="000000" w:themeColor="text1"/>
          <w:kern w:val="0"/>
          <w:szCs w:val="21"/>
          <w14:textFill>
            <w14:solidFill>
              <w14:schemeClr w14:val="tx1"/>
            </w14:solidFill>
          </w14:textFill>
        </w:rPr>
        <w:t>个的，报经有关招标投标监管部门同意后可以不招标。</w:t>
      </w:r>
    </w:p>
    <w:p>
      <w:pPr>
        <w:pStyle w:val="6"/>
        <w:keepNext/>
        <w:keepLines/>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宋体" w:hAnsi="宋体" w:cs="宋体"/>
        </w:rPr>
      </w:pPr>
      <w:bookmarkStart w:id="310" w:name="_Toc13696"/>
      <w:bookmarkStart w:id="311" w:name="_Toc294777236"/>
      <w:bookmarkStart w:id="312" w:name="_Toc18821"/>
      <w:bookmarkStart w:id="313" w:name="_Toc6712"/>
      <w:bookmarkStart w:id="314" w:name="_Toc367274982"/>
      <w:bookmarkStart w:id="315" w:name="_Toc18481"/>
      <w:bookmarkStart w:id="316" w:name="_Toc2482"/>
      <w:bookmarkStart w:id="317" w:name="_Toc20443"/>
      <w:bookmarkStart w:id="318" w:name="_Toc21960"/>
      <w:bookmarkStart w:id="319" w:name="_Toc30358"/>
      <w:bookmarkStart w:id="320" w:name="_Toc3166"/>
      <w:bookmarkStart w:id="321" w:name="_Toc190"/>
      <w:bookmarkStart w:id="322" w:name="_Toc1690"/>
      <w:bookmarkStart w:id="323" w:name="_Toc1080"/>
      <w:r>
        <w:rPr>
          <w:rFonts w:hint="eastAsia" w:ascii="宋体" w:hAnsi="宋体" w:cs="宋体"/>
        </w:rPr>
        <w:t>六、确定中标人及授予合同</w:t>
      </w:r>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p>
    <w:p>
      <w:pPr>
        <w:numPr>
          <w:ilvl w:val="0"/>
          <w:numId w:val="40"/>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中标人的确定</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招标人应当自</w:t>
      </w:r>
      <w:r>
        <w:rPr>
          <w:rFonts w:hint="eastAsia" w:ascii="宋体" w:hAnsi="宋体" w:eastAsia="宋体" w:cs="宋体"/>
          <w:snapToGrid w:val="0"/>
          <w:color w:val="000000" w:themeColor="text1"/>
          <w:kern w:val="0"/>
          <w:szCs w:val="21"/>
          <w:lang w:val="en-US" w:eastAsia="zh-CN"/>
          <w14:textFill>
            <w14:solidFill>
              <w14:schemeClr w14:val="tx1"/>
            </w14:solidFill>
          </w14:textFill>
        </w:rPr>
        <w:t>召开招投标会议三十个工作日</w:t>
      </w:r>
      <w:r>
        <w:rPr>
          <w:rFonts w:hint="eastAsia" w:ascii="宋体" w:hAnsi="宋体" w:eastAsia="宋体" w:cs="宋体"/>
          <w:snapToGrid w:val="0"/>
          <w:color w:val="000000" w:themeColor="text1"/>
          <w:kern w:val="0"/>
          <w:szCs w:val="21"/>
          <w14:textFill>
            <w14:solidFill>
              <w14:schemeClr w14:val="tx1"/>
            </w14:solidFill>
          </w14:textFill>
        </w:rPr>
        <w:t>按顺序确定中标或者成交投标人。</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招标人应当自中标、成交投标人确定之日起</w:t>
      </w:r>
      <w:r>
        <w:rPr>
          <w:rFonts w:hint="eastAsia" w:ascii="宋体" w:hAnsi="宋体" w:eastAsia="宋体" w:cs="宋体"/>
          <w:snapToGrid w:val="0"/>
          <w:color w:val="000000" w:themeColor="text1"/>
          <w:kern w:val="0"/>
          <w:szCs w:val="21"/>
          <w:lang w:val="en-US" w:eastAsia="zh-CN"/>
          <w14:textFill>
            <w14:solidFill>
              <w14:schemeClr w14:val="tx1"/>
            </w14:solidFill>
          </w14:textFill>
        </w:rPr>
        <w:t>15</w:t>
      </w:r>
      <w:r>
        <w:rPr>
          <w:rFonts w:hint="eastAsia" w:ascii="宋体" w:hAnsi="宋体" w:eastAsia="宋体" w:cs="宋体"/>
          <w:snapToGrid w:val="0"/>
          <w:color w:val="000000" w:themeColor="text1"/>
          <w:kern w:val="0"/>
          <w:szCs w:val="21"/>
          <w14:textFill>
            <w14:solidFill>
              <w14:schemeClr w14:val="tx1"/>
            </w14:solidFill>
          </w14:textFill>
        </w:rPr>
        <w:t>个工作日内，在发布</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招标公告</w:t>
      </w:r>
      <w:r>
        <w:rPr>
          <w:rFonts w:hint="eastAsia" w:ascii="宋体" w:hAnsi="宋体" w:eastAsia="宋体" w:cs="宋体"/>
          <w:snapToGrid w:val="0"/>
          <w:color w:val="000000" w:themeColor="text1"/>
          <w:kern w:val="0"/>
          <w:szCs w:val="21"/>
          <w14:textFill>
            <w14:solidFill>
              <w14:schemeClr w14:val="tx1"/>
            </w14:solidFill>
          </w14:textFill>
        </w:rPr>
        <w:t>的同一网站</w:t>
      </w:r>
      <w:r>
        <w:rPr>
          <w:rFonts w:hint="eastAsia" w:ascii="宋体" w:hAnsi="宋体" w:eastAsia="宋体" w:cs="宋体"/>
          <w:snapToGrid w:val="0"/>
          <w:color w:val="000000" w:themeColor="text1"/>
          <w:kern w:val="0"/>
          <w:szCs w:val="21"/>
          <w:lang w:val="en-US" w:eastAsia="zh-CN"/>
          <w14:textFill>
            <w14:solidFill>
              <w14:schemeClr w14:val="tx1"/>
            </w14:solidFill>
          </w14:textFill>
        </w:rPr>
        <w:t>发布</w:t>
      </w:r>
      <w:r>
        <w:rPr>
          <w:rFonts w:hint="eastAsia" w:ascii="宋体" w:hAnsi="宋体" w:eastAsia="宋体" w:cs="宋体"/>
          <w:snapToGrid w:val="0"/>
          <w:color w:val="000000" w:themeColor="text1"/>
          <w:kern w:val="0"/>
          <w:szCs w:val="21"/>
          <w14:textFill>
            <w14:solidFill>
              <w14:schemeClr w14:val="tx1"/>
            </w14:solidFill>
          </w14:textFill>
        </w:rPr>
        <w:t>中标</w:t>
      </w:r>
      <w:r>
        <w:rPr>
          <w:rFonts w:hint="eastAsia" w:ascii="宋体" w:hAnsi="宋体" w:eastAsia="宋体" w:cs="宋体"/>
          <w:snapToGrid w:val="0"/>
          <w:color w:val="000000" w:themeColor="text1"/>
          <w:kern w:val="0"/>
          <w:szCs w:val="21"/>
          <w:lang w:val="en-US" w:eastAsia="zh-CN"/>
          <w14:textFill>
            <w14:solidFill>
              <w14:schemeClr w14:val="tx1"/>
            </w14:solidFill>
          </w14:textFill>
        </w:rPr>
        <w:t>公示，公示期满5个工作日内发出</w:t>
      </w:r>
      <w:r>
        <w:rPr>
          <w:rFonts w:hint="eastAsia" w:ascii="宋体" w:hAnsi="宋体" w:eastAsia="宋体" w:cs="宋体"/>
          <w:snapToGrid w:val="0"/>
          <w:color w:val="000000" w:themeColor="text1"/>
          <w:kern w:val="0"/>
          <w:szCs w:val="21"/>
          <w14:textFill>
            <w14:solidFill>
              <w14:schemeClr w14:val="tx1"/>
            </w14:solidFill>
          </w14:textFill>
        </w:rPr>
        <w:t>中标通知书。</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除法律法规规定的情形外，招标人不得以任何理由组织重新评审。</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发出中标通知书前，预中标人有违反有关法律法规和本项目要求行为的，则取消其预中标资格，不再退还其投标保证金，并根据评标委员会推荐的中标候选人先后顺序，将下一顺序单位作为预中标公示单位，或由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组织评标委员会复议后提出重新组织招标等建议。</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投标人全部接受合同条件并签订合同后，中标通知书亦成为合同的组成部分。</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如中标人拒绝承担中标的项目，或提出招标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不能接受的条件，致使合同无法签订，招标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将取消其中标资格，不再退还其投标保证金，并根据评标委员会推荐的中标候选人先后顺序，将下一顺序单位作为预中标公示单位，或由招标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组织评标委员会复议后提出重新组织招标等建议。</w:t>
      </w:r>
    </w:p>
    <w:p>
      <w:pPr>
        <w:numPr>
          <w:ilvl w:val="0"/>
          <w:numId w:val="41"/>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在中标人签订合同并生效后，中标人即为投标人，招标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及时将未中标的结果通知其他投标人。</w:t>
      </w:r>
    </w:p>
    <w:p>
      <w:pPr>
        <w:numPr>
          <w:ilvl w:val="0"/>
          <w:numId w:val="40"/>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合同授予</w:t>
      </w:r>
    </w:p>
    <w:p>
      <w:pPr>
        <w:numPr>
          <w:ilvl w:val="0"/>
          <w:numId w:val="4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本项目的合同将授予</w:t>
      </w:r>
      <w:r>
        <w:rPr>
          <w:rFonts w:hint="eastAsia" w:ascii="宋体" w:hAnsi="宋体" w:eastAsia="宋体" w:cs="宋体"/>
          <w:snapToGrid w:val="0"/>
          <w:color w:val="000000" w:themeColor="text1"/>
          <w:kern w:val="0"/>
          <w:szCs w:val="21"/>
          <w:lang w:val="en-US" w:eastAsia="zh-CN"/>
          <w14:textFill>
            <w14:solidFill>
              <w14:schemeClr w14:val="tx1"/>
            </w14:solidFill>
          </w14:textFill>
        </w:rPr>
        <w:t>本招标</w:t>
      </w:r>
      <w:r>
        <w:rPr>
          <w:rFonts w:hint="eastAsia" w:ascii="宋体" w:hAnsi="宋体" w:eastAsia="宋体" w:cs="宋体"/>
          <w:snapToGrid w:val="0"/>
          <w:color w:val="000000" w:themeColor="text1"/>
          <w:kern w:val="0"/>
          <w:szCs w:val="21"/>
          <w14:textFill>
            <w14:solidFill>
              <w14:schemeClr w14:val="tx1"/>
            </w14:solidFill>
          </w14:textFill>
        </w:rPr>
        <w:t>所确定的中标人。</w:t>
      </w:r>
    </w:p>
    <w:p>
      <w:pPr>
        <w:numPr>
          <w:ilvl w:val="0"/>
          <w:numId w:val="4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中标人因不可抗力或者自身原因不能履行合同的，招标人可以与排位在中标人之后的第一位的中标候选人签订合同，以此类推。推荐中标候选人均放弃中标的，依法重新组织招标或经批准按其他方式执行。</w:t>
      </w:r>
    </w:p>
    <w:p>
      <w:pPr>
        <w:numPr>
          <w:ilvl w:val="0"/>
          <w:numId w:val="42"/>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招标人在授予合同时有权对招标服务的数量和范围予以增加或减少。</w:t>
      </w:r>
    </w:p>
    <w:p>
      <w:pPr>
        <w:numPr>
          <w:ilvl w:val="0"/>
          <w:numId w:val="40"/>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签订合同</w:t>
      </w:r>
    </w:p>
    <w:p>
      <w:pPr>
        <w:numPr>
          <w:ilvl w:val="0"/>
          <w:numId w:val="43"/>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中标人应按中标通知书规定的时间与招标人签订合同，并提交履约保证金。中标人在领取中标通知书时须向招标人提供一份关于本项目在实施过程中的相关人员的通讯录作为合同附件。</w:t>
      </w:r>
    </w:p>
    <w:p>
      <w:pPr>
        <w:numPr>
          <w:ilvl w:val="0"/>
          <w:numId w:val="43"/>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中标人如不遵守招标文件或投标文件各项条款的邀约与要约，或在接到中标通知书后借故拖延，拒签合同的，招标人将依据国家和招标文件有关规定没收其投标保证金。给招标人造成的损失超过投标保证金数额的还应当对超过部分予以赔偿，招标人可根据</w:t>
      </w:r>
      <w:r>
        <w:rPr>
          <w:rFonts w:hint="eastAsia" w:ascii="宋体" w:hAnsi="宋体" w:eastAsia="宋体" w:cs="宋体"/>
          <w:snapToGrid w:val="0"/>
          <w:color w:val="000000" w:themeColor="text1"/>
          <w:kern w:val="0"/>
          <w:szCs w:val="21"/>
          <w:lang w:val="en-US" w:eastAsia="zh-CN"/>
          <w14:textFill>
            <w14:solidFill>
              <w14:schemeClr w14:val="tx1"/>
            </w14:solidFill>
          </w14:textFill>
        </w:rPr>
        <w:t>合同授予</w:t>
      </w:r>
      <w:r>
        <w:rPr>
          <w:rFonts w:hint="eastAsia" w:ascii="宋体" w:hAnsi="宋体" w:eastAsia="宋体" w:cs="宋体"/>
          <w:snapToGrid w:val="0"/>
          <w:color w:val="000000" w:themeColor="text1"/>
          <w:kern w:val="0"/>
          <w:szCs w:val="21"/>
          <w14:textFill>
            <w14:solidFill>
              <w14:schemeClr w14:val="tx1"/>
            </w14:solidFill>
          </w14:textFill>
        </w:rPr>
        <w:t>原则另行选择中标人；发出中标通知书后，如招标人违约拒签合同的，应退还中标人的投标保证金，并以与投标保证金的相等数额支付给中标人招标违约金。但执行国家政策或不可抗力原因不在此列。</w:t>
      </w:r>
    </w:p>
    <w:p>
      <w:pPr>
        <w:numPr>
          <w:ilvl w:val="0"/>
          <w:numId w:val="43"/>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招标文件、中标人的投标文件及投标修改文件、评标过程中有关澄清文件及经投标人法定代表人或授权代表签字确认的询标回复和承诺及中标通知书均作为合同组成部分。</w:t>
      </w:r>
    </w:p>
    <w:p>
      <w:pPr>
        <w:numPr>
          <w:ilvl w:val="0"/>
          <w:numId w:val="40"/>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履约保证</w:t>
      </w:r>
      <w:r>
        <w:rPr>
          <w:rFonts w:hint="eastAsia" w:ascii="宋体" w:hAnsi="宋体" w:eastAsia="宋体" w:cs="宋体"/>
          <w:b/>
          <w:snapToGrid w:val="0"/>
          <w:color w:val="000000" w:themeColor="text1"/>
          <w:kern w:val="0"/>
          <w:szCs w:val="21"/>
          <w:lang w:eastAsia="zh-CN"/>
          <w14:textFill>
            <w14:solidFill>
              <w14:schemeClr w14:val="tx1"/>
            </w14:solidFill>
          </w14:textFill>
        </w:rPr>
        <w:t>（</w:t>
      </w:r>
      <w:r>
        <w:rPr>
          <w:rFonts w:hint="eastAsia" w:ascii="宋体" w:hAnsi="宋体" w:eastAsia="宋体" w:cs="宋体"/>
          <w:b/>
          <w:snapToGrid w:val="0"/>
          <w:color w:val="000000" w:themeColor="text1"/>
          <w:kern w:val="0"/>
          <w:szCs w:val="21"/>
          <w:lang w:val="en-US" w:eastAsia="zh-CN"/>
          <w14:textFill>
            <w14:solidFill>
              <w14:schemeClr w14:val="tx1"/>
            </w14:solidFill>
          </w14:textFill>
        </w:rPr>
        <w:t>不适用</w:t>
      </w:r>
      <w:r>
        <w:rPr>
          <w:rFonts w:hint="eastAsia" w:ascii="宋体" w:hAnsi="宋体" w:eastAsia="宋体" w:cs="宋体"/>
          <w:b/>
          <w:snapToGrid w:val="0"/>
          <w:color w:val="000000" w:themeColor="text1"/>
          <w:kern w:val="0"/>
          <w:szCs w:val="21"/>
          <w:lang w:eastAsia="zh-CN"/>
          <w14:textFill>
            <w14:solidFill>
              <w14:schemeClr w14:val="tx1"/>
            </w14:solidFill>
          </w14:textFill>
        </w:rPr>
        <w:t>）</w:t>
      </w:r>
    </w:p>
    <w:p>
      <w:pPr>
        <w:numPr>
          <w:ilvl w:val="0"/>
          <w:numId w:val="44"/>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bookmarkStart w:id="324" w:name="_Hlk44249901"/>
      <w:r>
        <w:rPr>
          <w:rFonts w:hint="eastAsia" w:ascii="宋体" w:hAnsi="宋体" w:eastAsia="宋体" w:cs="宋体"/>
          <w:snapToGrid w:val="0"/>
          <w:color w:val="000000" w:themeColor="text1"/>
          <w:kern w:val="0"/>
          <w:szCs w:val="21"/>
          <w14:textFill>
            <w14:solidFill>
              <w14:schemeClr w14:val="tx1"/>
            </w14:solidFill>
          </w14:textFill>
        </w:rPr>
        <w:t>中标人在合同签订之日起7天内，须向招标人支付招标人前附表中数量的履约保证金。履约保证金以转账支票或电汇或银行汇票（最终由招标人确定）形式支付。</w:t>
      </w:r>
    </w:p>
    <w:bookmarkEnd w:id="324"/>
    <w:p>
      <w:pPr>
        <w:numPr>
          <w:ilvl w:val="0"/>
          <w:numId w:val="44"/>
        </w:numPr>
        <w:adjustRightInd w:val="0"/>
        <w:snapToGrid w:val="0"/>
        <w:spacing w:line="360" w:lineRule="auto"/>
        <w:ind w:left="0" w:leftChars="0"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如果中标人没有</w:t>
      </w:r>
      <w:r>
        <w:rPr>
          <w:rFonts w:hint="eastAsia" w:ascii="宋体" w:hAnsi="宋体" w:eastAsia="宋体" w:cs="宋体"/>
          <w:snapToGrid w:val="0"/>
          <w:color w:val="000000" w:themeColor="text1"/>
          <w:kern w:val="0"/>
          <w:szCs w:val="21"/>
          <w:lang w:val="en-US" w:eastAsia="zh-CN"/>
          <w14:textFill>
            <w14:solidFill>
              <w14:schemeClr w14:val="tx1"/>
            </w14:solidFill>
          </w14:textFill>
        </w:rPr>
        <w:t>按照签订合同与履约保证</w:t>
      </w:r>
      <w:r>
        <w:rPr>
          <w:rFonts w:hint="eastAsia" w:ascii="宋体" w:hAnsi="宋体" w:eastAsia="宋体" w:cs="宋体"/>
          <w:snapToGrid w:val="0"/>
          <w:color w:val="000000" w:themeColor="text1"/>
          <w:kern w:val="0"/>
          <w:szCs w:val="21"/>
          <w14:textFill>
            <w14:solidFill>
              <w14:schemeClr w14:val="tx1"/>
            </w14:solidFill>
          </w14:textFill>
        </w:rPr>
        <w:t>规定执行，招标人将有充分理由取消该中标决定，并没收其投标保证金。在此情况下，招标人可将合同标授予下一个中标候选人。</w:t>
      </w:r>
    </w:p>
    <w:p>
      <w:pPr>
        <w:numPr>
          <w:ilvl w:val="0"/>
          <w:numId w:val="40"/>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异议与投诉</w:t>
      </w:r>
    </w:p>
    <w:p>
      <w:pPr>
        <w:numPr>
          <w:ilvl w:val="0"/>
          <w:numId w:val="45"/>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投标人询问</w:t>
      </w:r>
    </w:p>
    <w:p>
      <w:pPr>
        <w:adjustRightInd w:val="0"/>
        <w:snapToGrid w:val="0"/>
        <w:spacing w:line="360" w:lineRule="auto"/>
        <w:ind w:firstLine="420" w:firstLineChars="20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投标人对招标活动事项有疑问的，可以向招标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提出询问，招标人应当在</w:t>
      </w:r>
      <w:r>
        <w:rPr>
          <w:rFonts w:hint="eastAsia" w:ascii="宋体" w:hAnsi="宋体" w:eastAsia="宋体" w:cs="宋体"/>
          <w:snapToGrid w:val="0"/>
          <w:color w:val="000000" w:themeColor="text1"/>
          <w:kern w:val="0"/>
          <w:szCs w:val="21"/>
          <w:lang w:val="en-US" w:eastAsia="zh-CN"/>
          <w14:textFill>
            <w14:solidFill>
              <w14:schemeClr w14:val="tx1"/>
            </w14:solidFill>
          </w14:textFill>
        </w:rPr>
        <w:t>3</w:t>
      </w:r>
      <w:r>
        <w:rPr>
          <w:rFonts w:hint="eastAsia" w:ascii="宋体" w:hAnsi="宋体" w:eastAsia="宋体" w:cs="宋体"/>
          <w:snapToGrid w:val="0"/>
          <w:color w:val="000000" w:themeColor="text1"/>
          <w:kern w:val="0"/>
          <w:szCs w:val="21"/>
          <w14:textFill>
            <w14:solidFill>
              <w14:schemeClr w14:val="tx1"/>
            </w14:solidFill>
          </w14:textFill>
        </w:rPr>
        <w:t>个工作日内对投标人依法提出的询问作出答复，但答复的内容不得涉及商业秘密。</w:t>
      </w:r>
    </w:p>
    <w:p>
      <w:pPr>
        <w:numPr>
          <w:ilvl w:val="0"/>
          <w:numId w:val="45"/>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投标人异议</w:t>
      </w:r>
    </w:p>
    <w:p>
      <w:pPr>
        <w:widowControl/>
        <w:numPr>
          <w:ilvl w:val="0"/>
          <w:numId w:val="46"/>
        </w:numPr>
        <w:adjustRightInd w:val="0"/>
        <w:snapToGrid w:val="0"/>
        <w:spacing w:line="360" w:lineRule="auto"/>
        <w:ind w:left="845" w:leftChars="0" w:hanging="425" w:firstLineChars="0"/>
        <w:jc w:val="both"/>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投标人</w:t>
      </w:r>
      <w:r>
        <w:rPr>
          <w:rFonts w:hint="eastAsia" w:ascii="宋体" w:hAnsi="宋体" w:eastAsia="宋体" w:cs="宋体"/>
          <w:color w:val="000000" w:themeColor="text1"/>
          <w:szCs w:val="21"/>
          <w14:textFill>
            <w14:solidFill>
              <w14:schemeClr w14:val="tx1"/>
            </w14:solidFill>
          </w14:textFill>
        </w:rPr>
        <w:t>对招标文件有异议的，应当在投标截止时间</w:t>
      </w:r>
      <w:r>
        <w:rPr>
          <w:rFonts w:hint="eastAsia" w:ascii="宋体" w:hAnsi="宋体" w:eastAsia="宋体" w:cs="宋体"/>
          <w:color w:val="000000" w:themeColor="text1"/>
          <w:szCs w:val="21"/>
          <w:lang w:val="en-US" w:eastAsia="zh-CN"/>
          <w14:textFill>
            <w14:solidFill>
              <w14:schemeClr w14:val="tx1"/>
            </w14:solidFill>
          </w14:textFill>
        </w:rPr>
        <w:t>3</w:t>
      </w:r>
      <w:r>
        <w:rPr>
          <w:rFonts w:hint="eastAsia" w:ascii="宋体" w:hAnsi="宋体" w:eastAsia="宋体" w:cs="宋体"/>
          <w:color w:val="000000" w:themeColor="text1"/>
          <w:szCs w:val="21"/>
          <w14:textFill>
            <w14:solidFill>
              <w14:schemeClr w14:val="tx1"/>
            </w14:solidFill>
          </w14:textFill>
        </w:rPr>
        <w:t>日前向招标人提出；</w:t>
      </w:r>
      <w:r>
        <w:rPr>
          <w:rFonts w:hint="eastAsia" w:ascii="宋体" w:hAnsi="宋体" w:eastAsia="宋体" w:cs="宋体"/>
          <w:color w:val="000000" w:themeColor="text1"/>
          <w:kern w:val="0"/>
          <w:szCs w:val="21"/>
          <w14:textFill>
            <w14:solidFill>
              <w14:schemeClr w14:val="tx1"/>
            </w14:solidFill>
          </w14:textFill>
        </w:rPr>
        <w:t>投标人对评标结果有异议的，应当在中标候选人公示期间</w:t>
      </w:r>
      <w:r>
        <w:rPr>
          <w:rFonts w:hint="eastAsia" w:ascii="宋体" w:hAnsi="宋体" w:eastAsia="宋体" w:cs="宋体"/>
          <w:color w:val="000000" w:themeColor="text1"/>
          <w:szCs w:val="21"/>
          <w14:textFill>
            <w14:solidFill>
              <w14:schemeClr w14:val="tx1"/>
            </w14:solidFill>
          </w14:textFill>
        </w:rPr>
        <w:t>向招标人提出</w:t>
      </w:r>
      <w:r>
        <w:rPr>
          <w:rFonts w:hint="eastAsia" w:ascii="宋体" w:hAnsi="宋体" w:eastAsia="宋体" w:cs="宋体"/>
          <w:color w:val="000000" w:themeColor="text1"/>
          <w:kern w:val="0"/>
          <w:szCs w:val="21"/>
          <w14:textFill>
            <w14:solidFill>
              <w14:schemeClr w14:val="tx1"/>
            </w14:solidFill>
          </w14:textFill>
        </w:rPr>
        <w:t>；</w:t>
      </w:r>
    </w:p>
    <w:p>
      <w:pPr>
        <w:numPr>
          <w:ilvl w:val="0"/>
          <w:numId w:val="46"/>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投标人提交的异议书需一式三份，由法定代表人签字（或盖章）并加盖单位公章。异议书至少应包括下列主要内容：</w:t>
      </w:r>
    </w:p>
    <w:p>
      <w:pPr>
        <w:numPr>
          <w:ilvl w:val="0"/>
          <w:numId w:val="47"/>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异议人的名称、地址及有效联系方式；</w:t>
      </w:r>
    </w:p>
    <w:p>
      <w:pPr>
        <w:numPr>
          <w:ilvl w:val="0"/>
          <w:numId w:val="47"/>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被异议人的名称、地址及有效联系方式；</w:t>
      </w:r>
    </w:p>
    <w:p>
      <w:pPr>
        <w:numPr>
          <w:ilvl w:val="0"/>
          <w:numId w:val="47"/>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异议事项的基本事实；</w:t>
      </w:r>
    </w:p>
    <w:p>
      <w:pPr>
        <w:numPr>
          <w:ilvl w:val="0"/>
          <w:numId w:val="47"/>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相关请求及主张；</w:t>
      </w:r>
    </w:p>
    <w:p>
      <w:pPr>
        <w:numPr>
          <w:ilvl w:val="0"/>
          <w:numId w:val="47"/>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有效线索和相关证明材料。</w:t>
      </w:r>
    </w:p>
    <w:p>
      <w:pPr>
        <w:numPr>
          <w:ilvl w:val="0"/>
          <w:numId w:val="46"/>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招标人应当在收到投标人的书面异议后三个工作日内作出答复。</w:t>
      </w:r>
    </w:p>
    <w:p>
      <w:pPr>
        <w:numPr>
          <w:ilvl w:val="0"/>
          <w:numId w:val="45"/>
        </w:numPr>
        <w:adjustRightInd w:val="0"/>
        <w:snapToGrid w:val="0"/>
        <w:spacing w:line="360" w:lineRule="auto"/>
        <w:ind w:left="0" w:leftChars="0" w:firstLine="422" w:firstLineChars="20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投标人投诉</w:t>
      </w:r>
    </w:p>
    <w:p>
      <w:pPr>
        <w:numPr>
          <w:ilvl w:val="0"/>
          <w:numId w:val="48"/>
        </w:numPr>
        <w:adjustRightInd w:val="0"/>
        <w:snapToGrid w:val="0"/>
        <w:spacing w:line="360" w:lineRule="auto"/>
        <w:ind w:left="845" w:leftChars="0" w:hanging="425" w:firstLineChars="0"/>
        <w:jc w:val="both"/>
        <w:rPr>
          <w:rFonts w:hint="eastAsia"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投标人对招标人的异议答复不满意在规定时间（3个工作日）内作出答复的，可以在答复期满后</w:t>
      </w:r>
      <w:r>
        <w:rPr>
          <w:rFonts w:hint="eastAsia" w:ascii="宋体" w:hAnsi="宋体" w:eastAsia="宋体" w:cs="宋体"/>
          <w:color w:val="000000" w:themeColor="text1"/>
          <w:kern w:val="0"/>
          <w:szCs w:val="21"/>
          <w:lang w:val="en-US" w:eastAsia="zh-CN"/>
          <w14:textFill>
            <w14:solidFill>
              <w14:schemeClr w14:val="tx1"/>
            </w14:solidFill>
          </w14:textFill>
        </w:rPr>
        <w:t>3</w:t>
      </w:r>
      <w:r>
        <w:rPr>
          <w:rFonts w:hint="eastAsia" w:ascii="宋体" w:hAnsi="宋体" w:eastAsia="宋体" w:cs="宋体"/>
          <w:color w:val="000000" w:themeColor="text1"/>
          <w:kern w:val="0"/>
          <w:szCs w:val="21"/>
          <w14:textFill>
            <w14:solidFill>
              <w14:schemeClr w14:val="tx1"/>
            </w14:solidFill>
          </w14:textFill>
        </w:rPr>
        <w:t>日内向招标人</w:t>
      </w:r>
      <w:r>
        <w:rPr>
          <w:rFonts w:hint="eastAsia" w:ascii="宋体" w:hAnsi="宋体" w:eastAsia="宋体" w:cs="宋体"/>
          <w:color w:val="000000" w:themeColor="text1"/>
          <w:kern w:val="0"/>
          <w:szCs w:val="21"/>
          <w:lang w:val="en-US" w:eastAsia="zh-CN"/>
          <w14:textFill>
            <w14:solidFill>
              <w14:schemeClr w14:val="tx1"/>
            </w14:solidFill>
          </w14:textFill>
        </w:rPr>
        <w:t>纪律检查室</w:t>
      </w:r>
      <w:r>
        <w:rPr>
          <w:rFonts w:hint="eastAsia" w:ascii="宋体" w:hAnsi="宋体" w:eastAsia="宋体" w:cs="宋体"/>
          <w:color w:val="000000" w:themeColor="text1"/>
          <w:kern w:val="0"/>
          <w:szCs w:val="21"/>
          <w14:textFill>
            <w14:solidFill>
              <w14:schemeClr w14:val="tx1"/>
            </w14:solidFill>
          </w14:textFill>
        </w:rPr>
        <w:t>提出投诉。</w:t>
      </w:r>
    </w:p>
    <w:p>
      <w:pPr>
        <w:numPr>
          <w:ilvl w:val="0"/>
          <w:numId w:val="48"/>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投标人提交的</w:t>
      </w:r>
      <w:r>
        <w:rPr>
          <w:rFonts w:hint="eastAsia" w:ascii="宋体" w:hAnsi="宋体" w:eastAsia="宋体" w:cs="宋体"/>
          <w:color w:val="000000" w:themeColor="text1"/>
          <w:kern w:val="0"/>
          <w:szCs w:val="21"/>
          <w14:textFill>
            <w14:solidFill>
              <w14:schemeClr w14:val="tx1"/>
            </w14:solidFill>
          </w14:textFill>
        </w:rPr>
        <w:t>投诉</w:t>
      </w:r>
      <w:r>
        <w:rPr>
          <w:rFonts w:hint="eastAsia" w:ascii="宋体" w:hAnsi="宋体" w:eastAsia="宋体" w:cs="宋体"/>
          <w:snapToGrid w:val="0"/>
          <w:color w:val="000000" w:themeColor="text1"/>
          <w:kern w:val="0"/>
          <w:szCs w:val="21"/>
          <w14:textFill>
            <w14:solidFill>
              <w14:schemeClr w14:val="tx1"/>
            </w14:solidFill>
          </w14:textFill>
        </w:rPr>
        <w:t>书需一式三份，由法定代表人签字（或盖章）并加盖单位公章。</w:t>
      </w:r>
      <w:r>
        <w:rPr>
          <w:rFonts w:hint="eastAsia" w:ascii="宋体" w:hAnsi="宋体" w:eastAsia="宋体" w:cs="宋体"/>
          <w:color w:val="000000" w:themeColor="text1"/>
          <w:kern w:val="0"/>
          <w:szCs w:val="21"/>
          <w14:textFill>
            <w14:solidFill>
              <w14:schemeClr w14:val="tx1"/>
            </w14:solidFill>
          </w14:textFill>
        </w:rPr>
        <w:t>投诉</w:t>
      </w:r>
      <w:r>
        <w:rPr>
          <w:rFonts w:hint="eastAsia" w:ascii="宋体" w:hAnsi="宋体" w:eastAsia="宋体" w:cs="宋体"/>
          <w:snapToGrid w:val="0"/>
          <w:color w:val="000000" w:themeColor="text1"/>
          <w:kern w:val="0"/>
          <w:szCs w:val="21"/>
          <w14:textFill>
            <w14:solidFill>
              <w14:schemeClr w14:val="tx1"/>
            </w14:solidFill>
          </w14:textFill>
        </w:rPr>
        <w:t>书至少应包括下列主要内容：</w:t>
      </w:r>
    </w:p>
    <w:p>
      <w:pPr>
        <w:numPr>
          <w:ilvl w:val="0"/>
          <w:numId w:val="49"/>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投诉人的名称、地址及有效联系方式；</w:t>
      </w:r>
    </w:p>
    <w:p>
      <w:pPr>
        <w:numPr>
          <w:ilvl w:val="0"/>
          <w:numId w:val="49"/>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被投诉人的名称、地址及有效联系方式；</w:t>
      </w:r>
    </w:p>
    <w:p>
      <w:pPr>
        <w:numPr>
          <w:ilvl w:val="0"/>
          <w:numId w:val="49"/>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投诉事项的基本事实；</w:t>
      </w:r>
    </w:p>
    <w:p>
      <w:pPr>
        <w:numPr>
          <w:ilvl w:val="0"/>
          <w:numId w:val="49"/>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相关请求及主张；</w:t>
      </w:r>
    </w:p>
    <w:p>
      <w:pPr>
        <w:numPr>
          <w:ilvl w:val="0"/>
          <w:numId w:val="49"/>
        </w:numPr>
        <w:adjustRightInd w:val="0"/>
        <w:snapToGrid w:val="0"/>
        <w:spacing w:line="360" w:lineRule="auto"/>
        <w:ind w:left="845" w:leftChars="0" w:hanging="425" w:firstLineChars="0"/>
        <w:jc w:val="both"/>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有效线索和相关证明材料。</w:t>
      </w:r>
    </w:p>
    <w:p>
      <w:pPr>
        <w:numPr>
          <w:ilvl w:val="0"/>
          <w:numId w:val="40"/>
        </w:numPr>
        <w:adjustRightInd w:val="0"/>
        <w:snapToGrid w:val="0"/>
        <w:spacing w:line="360" w:lineRule="auto"/>
        <w:ind w:left="0" w:leftChars="0" w:firstLine="420" w:firstLineChars="0"/>
        <w:jc w:val="both"/>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招标结束</w:t>
      </w:r>
    </w:p>
    <w:p>
      <w:pPr>
        <w:adjustRightInd w:val="0"/>
        <w:snapToGrid w:val="0"/>
        <w:spacing w:line="360" w:lineRule="auto"/>
        <w:ind w:firstLine="420" w:firstLineChars="200"/>
        <w:jc w:val="both"/>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中标人与招标人签订合同生效后即为招标结束。本项目的投标文件不予退回。</w:t>
      </w:r>
      <w:bookmarkEnd w:id="227"/>
      <w:bookmarkEnd w:id="228"/>
      <w:bookmarkEnd w:id="229"/>
      <w:bookmarkEnd w:id="230"/>
    </w:p>
    <w:p>
      <w:pPr>
        <w:adjustRightInd w:val="0"/>
        <w:snapToGrid w:val="0"/>
        <w:spacing w:beforeLines="50" w:afterLines="50" w:line="360" w:lineRule="auto"/>
        <w:jc w:val="center"/>
        <w:outlineLvl w:val="0"/>
        <w:rPr>
          <w:rStyle w:val="61"/>
          <w:rFonts w:hint="eastAsia"/>
        </w:rPr>
      </w:pPr>
      <w:r>
        <w:rPr>
          <w:color w:val="000000" w:themeColor="text1"/>
          <w:sz w:val="24"/>
          <w14:textFill>
            <w14:solidFill>
              <w14:schemeClr w14:val="tx1"/>
            </w14:solidFill>
          </w14:textFill>
        </w:rPr>
        <w:br w:type="page"/>
      </w:r>
      <w:bookmarkStart w:id="325" w:name="_Toc227057922"/>
      <w:bookmarkStart w:id="326" w:name="_Toc20893"/>
      <w:bookmarkStart w:id="327" w:name="_Toc107822520"/>
      <w:bookmarkStart w:id="328" w:name="_Toc31161"/>
      <w:bookmarkStart w:id="329" w:name="_Toc25231"/>
      <w:bookmarkStart w:id="330" w:name="_Toc5412"/>
      <w:bookmarkStart w:id="331" w:name="_Toc25322"/>
      <w:bookmarkStart w:id="332" w:name="_Toc4069"/>
      <w:bookmarkStart w:id="333" w:name="_Toc17876"/>
      <w:bookmarkStart w:id="334" w:name="_Toc21535"/>
      <w:bookmarkStart w:id="335" w:name="_Toc14255"/>
      <w:bookmarkStart w:id="336" w:name="_Toc27328"/>
      <w:bookmarkStart w:id="337" w:name="_Toc30568"/>
      <w:bookmarkStart w:id="338" w:name="_Toc30340"/>
      <w:bookmarkStart w:id="339" w:name="_Toc226969316"/>
      <w:r>
        <w:rPr>
          <w:rStyle w:val="61"/>
          <w:rFonts w:hint="eastAsia"/>
        </w:rPr>
        <w:t>第三章</w:t>
      </w:r>
      <w:r>
        <w:rPr>
          <w:rStyle w:val="61"/>
          <w:rFonts w:hint="eastAsia"/>
          <w:lang w:val="en-US"/>
        </w:rPr>
        <w:t xml:space="preserve"> 疗休养服务</w:t>
      </w:r>
      <w:r>
        <w:rPr>
          <w:rStyle w:val="61"/>
          <w:rFonts w:hint="eastAsia"/>
        </w:rPr>
        <w:t>合同的一般和特殊条款</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Start w:id="340" w:name="_bookmark1"/>
      <w:bookmarkEnd w:id="340"/>
      <w:bookmarkStart w:id="341" w:name="_bookmark0"/>
      <w:bookmarkEnd w:id="341"/>
      <w:bookmarkStart w:id="342" w:name="_Toc107822570"/>
      <w:bookmarkStart w:id="343" w:name="_Toc227057959"/>
      <w:bookmarkStart w:id="344" w:name="_Toc226969353"/>
    </w:p>
    <w:p>
      <w:pPr>
        <w:jc w:val="center"/>
        <w:rPr>
          <w:rFonts w:hint="eastAsia"/>
          <w:b/>
          <w:bCs/>
          <w:sz w:val="36"/>
        </w:rPr>
      </w:pPr>
      <w:bookmarkStart w:id="345" w:name="_Toc2957"/>
      <w:bookmarkStart w:id="346" w:name="_Toc8553"/>
      <w:bookmarkStart w:id="347" w:name="_Toc13707"/>
      <w:r>
        <w:rPr>
          <w:rStyle w:val="61"/>
          <w:rFonts w:hint="eastAsia"/>
          <w:lang w:val="en-US"/>
        </w:rPr>
        <w:t>疗休养服务</w:t>
      </w:r>
      <w:r>
        <w:rPr>
          <w:rStyle w:val="61"/>
          <w:rFonts w:hint="eastAsia"/>
        </w:rPr>
        <w:t>合同</w:t>
      </w:r>
      <w:bookmarkEnd w:id="345"/>
      <w:bookmarkEnd w:id="346"/>
      <w:bookmarkEnd w:id="347"/>
    </w:p>
    <w:p>
      <w:pPr>
        <w:adjustRightInd w:val="0"/>
        <w:spacing w:line="360" w:lineRule="auto"/>
        <w:ind w:firstLine="0" w:firstLineChars="0"/>
        <w:jc w:val="right"/>
        <w:rPr>
          <w:rFonts w:hint="eastAsia" w:ascii="宋体" w:hAnsi="宋体" w:eastAsia="宋体" w:cs="宋体"/>
          <w:sz w:val="21"/>
          <w:szCs w:val="21"/>
          <w:u w:val="single"/>
        </w:rPr>
      </w:pPr>
      <w:bookmarkStart w:id="348" w:name="_Toc2331"/>
      <w:bookmarkStart w:id="349" w:name="_Toc14129"/>
      <w:bookmarkStart w:id="350" w:name="_Toc21517"/>
      <w:bookmarkStart w:id="351" w:name="_Toc4351"/>
      <w:bookmarkStart w:id="352" w:name="_Toc23577"/>
      <w:bookmarkStart w:id="353" w:name="_Toc21565"/>
      <w:bookmarkStart w:id="354" w:name="_Toc19159"/>
      <w:bookmarkStart w:id="355" w:name="_Toc25111"/>
      <w:bookmarkStart w:id="356" w:name="_Toc16907"/>
      <w:r>
        <w:rPr>
          <w:rFonts w:hint="eastAsia" w:ascii="宋体" w:hAnsi="宋体" w:eastAsia="宋体" w:cs="宋体"/>
          <w:sz w:val="21"/>
          <w:szCs w:val="21"/>
        </w:rPr>
        <w:t>合同编号：</w:t>
      </w:r>
      <w:r>
        <w:rPr>
          <w:rFonts w:hint="eastAsia" w:ascii="宋体" w:hAnsi="宋体" w:eastAsia="宋体" w:cs="宋体"/>
          <w:sz w:val="21"/>
          <w:szCs w:val="21"/>
          <w:u w:val="single"/>
        </w:rPr>
        <w:t xml:space="preserve">           </w:t>
      </w:r>
    </w:p>
    <w:p>
      <w:pPr>
        <w:adjustRightInd w:val="0"/>
        <w:spacing w:line="360" w:lineRule="auto"/>
        <w:ind w:firstLine="422" w:firstLineChars="200"/>
        <w:jc w:val="both"/>
        <w:rPr>
          <w:rFonts w:hint="eastAsia" w:ascii="宋体" w:hAnsi="宋体" w:eastAsia="宋体" w:cs="宋体"/>
          <w:b/>
          <w:bCs/>
          <w:sz w:val="21"/>
          <w:szCs w:val="21"/>
        </w:rPr>
      </w:pPr>
    </w:p>
    <w:p>
      <w:pPr>
        <w:widowControl w:val="0"/>
        <w:adjustRightInd w:val="0"/>
        <w:spacing w:line="360" w:lineRule="auto"/>
        <w:ind w:firstLine="0" w:firstLineChars="0"/>
        <w:jc w:val="both"/>
        <w:textAlignment w:val="auto"/>
        <w:outlineLvl w:val="9"/>
        <w:rPr>
          <w:rFonts w:hint="eastAsia" w:ascii="宋体" w:hAnsi="宋体" w:eastAsia="宋体" w:cs="宋体"/>
          <w:b/>
          <w:bCs/>
          <w:spacing w:val="-4"/>
          <w:kern w:val="2"/>
          <w:sz w:val="21"/>
          <w:szCs w:val="21"/>
          <w:highlight w:val="none"/>
          <w:u w:val="single"/>
          <w:lang w:val="en-US" w:eastAsia="zh-CN" w:bidi="ar-SA"/>
        </w:rPr>
      </w:pPr>
      <w:r>
        <w:rPr>
          <w:rFonts w:hint="eastAsia" w:ascii="宋体" w:hAnsi="宋体" w:eastAsia="宋体" w:cs="宋体"/>
          <w:b/>
          <w:bCs/>
          <w:spacing w:val="-4"/>
          <w:kern w:val="2"/>
          <w:sz w:val="21"/>
          <w:szCs w:val="21"/>
          <w:highlight w:val="none"/>
          <w:lang w:val="en-US" w:eastAsia="zh-CN" w:bidi="ar-SA"/>
        </w:rPr>
        <w:t>甲方：浙江亿利达风机股份有限公司</w:t>
      </w:r>
      <w:r>
        <w:rPr>
          <w:rFonts w:hint="eastAsia" w:ascii="宋体" w:hAnsi="宋体" w:eastAsia="宋体" w:cs="宋体"/>
          <w:b/>
          <w:bCs/>
          <w:spacing w:val="-4"/>
          <w:kern w:val="2"/>
          <w:sz w:val="21"/>
          <w:szCs w:val="21"/>
          <w:highlight w:val="none"/>
          <w:u w:val="single"/>
          <w:lang w:val="en-US" w:eastAsia="zh-CN" w:bidi="ar-SA"/>
        </w:rPr>
        <w:t xml:space="preserve">                                   </w:t>
      </w:r>
    </w:p>
    <w:p>
      <w:pPr>
        <w:adjustRightInd w:val="0"/>
        <w:snapToGrid/>
        <w:spacing w:line="360" w:lineRule="auto"/>
        <w:ind w:firstLine="0" w:firstLineChars="0"/>
        <w:textAlignment w:val="auto"/>
        <w:outlineLvl w:val="9"/>
        <w:rPr>
          <w:rFonts w:hint="eastAsia" w:ascii="宋体" w:hAnsi="宋体" w:eastAsia="宋体" w:cs="宋体"/>
          <w:b/>
          <w:sz w:val="21"/>
          <w:szCs w:val="21"/>
          <w:highlight w:val="none"/>
        </w:rPr>
      </w:pPr>
      <w:r>
        <w:rPr>
          <w:rFonts w:hint="eastAsia" w:ascii="宋体" w:hAnsi="宋体" w:eastAsia="宋体" w:cs="宋体"/>
          <w:b/>
          <w:bCs/>
          <w:spacing w:val="-4"/>
          <w:kern w:val="2"/>
          <w:sz w:val="21"/>
          <w:szCs w:val="21"/>
          <w:highlight w:val="none"/>
          <w:lang w:val="en-US" w:eastAsia="zh-CN" w:bidi="ar-SA"/>
        </w:rPr>
        <w:t>乙方：</w:t>
      </w:r>
      <w:r>
        <w:rPr>
          <w:rFonts w:hint="eastAsia" w:ascii="宋体" w:hAnsi="宋体" w:eastAsia="宋体" w:cs="宋体"/>
          <w:b/>
          <w:bCs/>
          <w:spacing w:val="-4"/>
          <w:kern w:val="2"/>
          <w:sz w:val="21"/>
          <w:szCs w:val="21"/>
          <w:highlight w:val="none"/>
          <w:u w:val="single"/>
          <w:lang w:val="en-US" w:eastAsia="zh-CN" w:bidi="ar-SA"/>
        </w:rPr>
        <w:t xml:space="preserve">                   （以下简称：“旅行社”）     </w:t>
      </w:r>
      <w:r>
        <w:rPr>
          <w:rFonts w:hint="eastAsia" w:ascii="宋体" w:hAnsi="宋体" w:eastAsia="宋体" w:cs="宋体"/>
          <w:spacing w:val="-4"/>
          <w:kern w:val="2"/>
          <w:sz w:val="21"/>
          <w:szCs w:val="21"/>
          <w:highlight w:val="none"/>
          <w:u w:val="single"/>
          <w:lang w:val="en-US" w:eastAsia="zh-CN" w:bidi="ar-SA"/>
        </w:rPr>
        <w:t xml:space="preserve">             </w:t>
      </w:r>
      <w:r>
        <w:rPr>
          <w:rFonts w:hint="eastAsia" w:ascii="宋体" w:hAnsi="宋体" w:eastAsia="宋体" w:cs="宋体"/>
          <w:sz w:val="21"/>
          <w:szCs w:val="21"/>
          <w:highlight w:val="none"/>
          <w:lang w:val="en-US" w:eastAsia="zh-CN"/>
        </w:rPr>
        <w:t xml:space="preserve">    </w:t>
      </w:r>
      <w:r>
        <w:rPr>
          <w:rFonts w:hint="eastAsia" w:ascii="宋体" w:hAnsi="宋体" w:eastAsia="宋体" w:cs="宋体"/>
          <w:sz w:val="21"/>
          <w:szCs w:val="21"/>
          <w:highlight w:val="none"/>
        </w:rPr>
        <w:t xml:space="preserve">            </w:t>
      </w:r>
    </w:p>
    <w:p>
      <w:pPr>
        <w:wordWrap w:val="0"/>
        <w:adjustRightInd w:val="0"/>
        <w:snapToGrid w:val="0"/>
        <w:spacing w:line="360" w:lineRule="auto"/>
        <w:ind w:left="0" w:leftChars="0" w:firstLine="420" w:firstLineChars="200"/>
        <w:jc w:val="both"/>
        <w:textAlignment w:val="auto"/>
        <w:outlineLvl w:val="9"/>
        <w:rPr>
          <w:rFonts w:hint="eastAsia" w:ascii="宋体" w:hAnsi="宋体" w:eastAsia="宋体" w:cs="宋体"/>
          <w:bCs/>
          <w:color w:val="000000"/>
          <w:sz w:val="21"/>
          <w:szCs w:val="21"/>
          <w:highlight w:val="none"/>
        </w:rPr>
      </w:pPr>
    </w:p>
    <w:p>
      <w:pPr>
        <w:wordWrap w:val="0"/>
        <w:adjustRightInd w:val="0"/>
        <w:snapToGrid w:val="0"/>
        <w:spacing w:line="360" w:lineRule="auto"/>
        <w:ind w:left="0" w:leftChars="0" w:firstLine="420" w:firstLineChars="200"/>
        <w:jc w:val="both"/>
        <w:textAlignment w:val="auto"/>
        <w:outlineLvl w:val="9"/>
        <w:rPr>
          <w:rFonts w:hint="eastAsia" w:ascii="宋体" w:hAnsi="宋体" w:eastAsia="宋体" w:cs="宋体"/>
          <w:color w:val="000000"/>
          <w:sz w:val="21"/>
          <w:szCs w:val="21"/>
          <w:highlight w:val="none"/>
          <w:u w:val="single"/>
        </w:rPr>
      </w:pPr>
      <w:r>
        <w:rPr>
          <w:rFonts w:hint="eastAsia" w:ascii="宋体" w:hAnsi="宋体" w:eastAsia="宋体" w:cs="宋体"/>
          <w:bCs/>
          <w:color w:val="000000"/>
          <w:sz w:val="21"/>
          <w:szCs w:val="21"/>
          <w:highlight w:val="none"/>
        </w:rPr>
        <w:t>根据</w:t>
      </w:r>
      <w:r>
        <w:rPr>
          <w:rFonts w:hint="eastAsia" w:ascii="宋体" w:hAnsi="宋体" w:eastAsia="宋体" w:cs="宋体"/>
          <w:bCs/>
          <w:color w:val="000000"/>
          <w:sz w:val="21"/>
          <w:szCs w:val="21"/>
          <w:highlight w:val="none"/>
          <w:u w:val="single"/>
          <w:lang w:eastAsia="zh-CN"/>
        </w:rPr>
        <w:t xml:space="preserve"> </w:t>
      </w:r>
      <w:r>
        <w:rPr>
          <w:rFonts w:hint="eastAsia" w:ascii="宋体" w:hAnsi="宋体" w:eastAsia="宋体" w:cs="宋体"/>
          <w:spacing w:val="-4"/>
          <w:kern w:val="2"/>
          <w:sz w:val="21"/>
          <w:szCs w:val="21"/>
          <w:highlight w:val="none"/>
          <w:lang w:val="en-US" w:eastAsia="zh-CN" w:bidi="ar-SA"/>
        </w:rPr>
        <w:t>浙江亿利达风机股份有限公司</w:t>
      </w:r>
      <w:r>
        <w:rPr>
          <w:rFonts w:hint="eastAsia" w:ascii="宋体" w:hAnsi="宋体" w:eastAsia="宋体" w:cs="宋体"/>
          <w:bCs/>
          <w:color w:val="000000"/>
          <w:sz w:val="21"/>
          <w:szCs w:val="21"/>
          <w:highlight w:val="none"/>
          <w:u w:val="single"/>
          <w:lang w:val="en-US" w:eastAsia="zh-CN"/>
        </w:rPr>
        <w:t xml:space="preserve"> </w:t>
      </w:r>
      <w:r>
        <w:rPr>
          <w:rFonts w:hint="eastAsia" w:ascii="宋体" w:hAnsi="宋体" w:eastAsia="宋体" w:cs="宋体"/>
          <w:bCs/>
          <w:color w:val="000000"/>
          <w:sz w:val="21"/>
          <w:szCs w:val="21"/>
          <w:highlight w:val="none"/>
          <w:u w:val="none"/>
          <w:lang w:val="en-US" w:eastAsia="zh-CN"/>
        </w:rPr>
        <w:t>的</w:t>
      </w:r>
      <w:r>
        <w:rPr>
          <w:rFonts w:hint="eastAsia" w:ascii="宋体" w:hAnsi="宋体" w:eastAsia="宋体" w:cs="宋体"/>
          <w:bCs/>
          <w:color w:val="000000"/>
          <w:sz w:val="21"/>
          <w:szCs w:val="21"/>
          <w:highlight w:val="none"/>
          <w:u w:val="single"/>
          <w:lang w:val="en-US" w:eastAsia="zh-CN"/>
        </w:rPr>
        <w:t xml:space="preserve"> 亿利达疗休养服务采购</w:t>
      </w:r>
      <w:r>
        <w:rPr>
          <w:rFonts w:hint="eastAsia" w:ascii="宋体" w:hAnsi="宋体" w:eastAsia="宋体" w:cs="宋体"/>
          <w:bCs/>
          <w:color w:val="000000"/>
          <w:sz w:val="21"/>
          <w:szCs w:val="21"/>
          <w:highlight w:val="none"/>
        </w:rPr>
        <w:t>项目（项目编号：</w:t>
      </w:r>
      <w:r>
        <w:rPr>
          <w:rFonts w:hint="eastAsia" w:ascii="宋体" w:hAnsi="宋体" w:eastAsia="宋体" w:cs="宋体"/>
          <w:szCs w:val="21"/>
          <w:lang w:val="en-US" w:eastAsia="zh-CN"/>
        </w:rPr>
        <w:t>YLD-ZB-20240403</w:t>
      </w:r>
      <w:r>
        <w:rPr>
          <w:rFonts w:hint="eastAsia" w:ascii="宋体" w:hAnsi="宋体" w:eastAsia="宋体" w:cs="宋体"/>
          <w:bCs/>
          <w:color w:val="000000"/>
          <w:sz w:val="21"/>
          <w:szCs w:val="21"/>
          <w:highlight w:val="none"/>
        </w:rPr>
        <w:t>）的中标结果，为保证旅游服务质量，明确合同当事人的权利义务，本着平等协商的原则，就</w:t>
      </w:r>
      <w:r>
        <w:rPr>
          <w:rFonts w:hint="eastAsia" w:ascii="宋体" w:hAnsi="宋体" w:eastAsia="宋体" w:cs="宋体"/>
          <w:bCs/>
          <w:color w:val="000000"/>
          <w:sz w:val="21"/>
          <w:szCs w:val="21"/>
          <w:highlight w:val="none"/>
          <w:lang w:eastAsia="zh-CN"/>
        </w:rPr>
        <w:t>甲方</w:t>
      </w:r>
      <w:r>
        <w:rPr>
          <w:rFonts w:hint="eastAsia" w:ascii="宋体" w:hAnsi="宋体" w:eastAsia="宋体" w:cs="宋体"/>
          <w:bCs/>
          <w:color w:val="000000"/>
          <w:sz w:val="21"/>
          <w:szCs w:val="21"/>
          <w:highlight w:val="none"/>
        </w:rPr>
        <w:t>参加旅行社组织的本次旅游有关事项经双方协商一致，达成如下协议：</w:t>
      </w:r>
      <w:r>
        <w:rPr>
          <w:rFonts w:hint="eastAsia" w:ascii="宋体" w:hAnsi="宋体" w:eastAsia="宋体" w:cs="宋体"/>
          <w:b/>
          <w:color w:val="000000"/>
          <w:sz w:val="21"/>
          <w:szCs w:val="21"/>
          <w:highlight w:val="none"/>
        </w:rPr>
        <w:t xml:space="preserve"> </w:t>
      </w:r>
    </w:p>
    <w:p>
      <w:pPr>
        <w:adjustRightInd w:val="0"/>
        <w:snapToGrid w:val="0"/>
        <w:spacing w:line="360" w:lineRule="auto"/>
        <w:ind w:firstLine="422" w:firstLineChars="200"/>
        <w:jc w:val="both"/>
        <w:textAlignment w:val="auto"/>
        <w:outlineLvl w:val="9"/>
        <w:rPr>
          <w:rFonts w:hint="eastAsia" w:ascii="宋体" w:hAnsi="宋体" w:eastAsia="宋体" w:cs="宋体"/>
          <w:color w:val="000000"/>
          <w:sz w:val="21"/>
          <w:szCs w:val="21"/>
          <w:highlight w:val="none"/>
          <w:u w:val="single"/>
        </w:rPr>
      </w:pPr>
      <w:r>
        <w:rPr>
          <w:rFonts w:hint="eastAsia" w:ascii="宋体" w:hAnsi="宋体" w:eastAsia="宋体" w:cs="宋体"/>
          <w:b/>
          <w:bCs/>
          <w:color w:val="000000"/>
          <w:kern w:val="0"/>
          <w:sz w:val="21"/>
          <w:szCs w:val="21"/>
          <w:highlight w:val="none"/>
        </w:rPr>
        <w:t>第一条</w:t>
      </w:r>
      <w:r>
        <w:rPr>
          <w:rFonts w:hint="eastAsia" w:ascii="宋体" w:hAnsi="宋体" w:eastAsia="宋体" w:cs="宋体"/>
          <w:b/>
          <w:bCs/>
          <w:color w:val="000000"/>
          <w:sz w:val="21"/>
          <w:szCs w:val="21"/>
          <w:highlight w:val="none"/>
        </w:rPr>
        <w:t xml:space="preserve">  旅游线路及</w:t>
      </w:r>
      <w:r>
        <w:rPr>
          <w:rFonts w:hint="eastAsia" w:ascii="宋体" w:hAnsi="宋体" w:eastAsia="宋体" w:cs="宋体"/>
          <w:b/>
          <w:bCs/>
          <w:color w:val="000000"/>
          <w:kern w:val="0"/>
          <w:sz w:val="21"/>
          <w:szCs w:val="21"/>
          <w:highlight w:val="none"/>
        </w:rPr>
        <w:t>时间</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出行时间：20</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年</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月</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月</w:t>
      </w:r>
    </w:p>
    <w:p>
      <w:pPr>
        <w:adjustRightInd w:val="0"/>
        <w:spacing w:line="360" w:lineRule="auto"/>
        <w:ind w:firstLine="420" w:firstLineChars="200"/>
        <w:jc w:val="both"/>
        <w:textAlignment w:val="auto"/>
        <w:outlineLvl w:val="9"/>
        <w:rPr>
          <w:rFonts w:hint="eastAsia" w:ascii="宋体" w:hAnsi="宋体" w:eastAsia="宋体" w:cs="宋体"/>
          <w:sz w:val="21"/>
          <w:szCs w:val="21"/>
          <w:highlight w:val="none"/>
        </w:rPr>
      </w:pPr>
      <w:r>
        <w:rPr>
          <w:rFonts w:hint="eastAsia" w:ascii="宋体" w:hAnsi="宋体" w:eastAsia="宋体" w:cs="宋体"/>
          <w:color w:val="000000"/>
          <w:sz w:val="21"/>
          <w:szCs w:val="21"/>
          <w:highlight w:val="none"/>
        </w:rPr>
        <w:t>出行线路：</w:t>
      </w:r>
    </w:p>
    <w:p>
      <w:pPr>
        <w:widowControl/>
        <w:tabs>
          <w:tab w:val="left" w:pos="5565"/>
        </w:tabs>
        <w:adjustRightInd w:val="0"/>
        <w:spacing w:line="360" w:lineRule="auto"/>
        <w:ind w:firstLine="406" w:firstLineChars="200"/>
        <w:jc w:val="both"/>
        <w:textAlignment w:val="auto"/>
        <w:outlineLvl w:val="9"/>
        <w:rPr>
          <w:rFonts w:hint="eastAsia" w:ascii="宋体" w:hAnsi="宋体" w:eastAsia="宋体" w:cs="宋体"/>
          <w:b/>
          <w:bCs/>
          <w:color w:val="000000"/>
          <w:kern w:val="0"/>
          <w:sz w:val="21"/>
          <w:szCs w:val="21"/>
          <w:highlight w:val="none"/>
        </w:rPr>
      </w:pPr>
      <w:r>
        <w:rPr>
          <w:rFonts w:hint="eastAsia" w:ascii="宋体" w:hAnsi="宋体" w:eastAsia="宋体" w:cs="宋体"/>
          <w:b/>
          <w:color w:val="000000"/>
          <w:spacing w:val="-4"/>
          <w:sz w:val="21"/>
          <w:szCs w:val="21"/>
          <w:highlight w:val="none"/>
        </w:rPr>
        <w:t xml:space="preserve">第二条  </w:t>
      </w:r>
      <w:r>
        <w:rPr>
          <w:rFonts w:hint="eastAsia" w:ascii="宋体" w:hAnsi="宋体" w:eastAsia="宋体" w:cs="宋体"/>
          <w:b/>
          <w:bCs/>
          <w:color w:val="000000"/>
          <w:kern w:val="0"/>
          <w:sz w:val="21"/>
          <w:szCs w:val="21"/>
          <w:highlight w:val="none"/>
        </w:rPr>
        <w:t>旅游费用及支付</w:t>
      </w:r>
    </w:p>
    <w:p>
      <w:pPr>
        <w:widowControl/>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pacing w:val="20"/>
          <w:kern w:val="0"/>
          <w:sz w:val="21"/>
          <w:szCs w:val="21"/>
          <w:highlight w:val="none"/>
        </w:rPr>
      </w:pPr>
      <w:r>
        <w:rPr>
          <w:rFonts w:hint="eastAsia" w:ascii="宋体" w:hAnsi="宋体" w:eastAsia="宋体" w:cs="宋体"/>
          <w:color w:val="000000"/>
          <w:sz w:val="21"/>
          <w:szCs w:val="21"/>
          <w:highlight w:val="none"/>
        </w:rPr>
        <w:t>1、旅游费用</w:t>
      </w:r>
      <w:r>
        <w:rPr>
          <w:rFonts w:hint="eastAsia" w:ascii="宋体" w:hAnsi="宋体" w:eastAsia="宋体" w:cs="宋体"/>
          <w:color w:val="000000"/>
          <w:sz w:val="21"/>
          <w:szCs w:val="21"/>
          <w:highlight w:val="none"/>
          <w:lang w:eastAsia="zh-CN"/>
        </w:rPr>
        <w:t>综合单价</w:t>
      </w:r>
      <w:r>
        <w:rPr>
          <w:rFonts w:hint="eastAsia" w:ascii="宋体" w:hAnsi="宋体" w:eastAsia="宋体" w:cs="宋体"/>
          <w:color w:val="000000"/>
          <w:sz w:val="21"/>
          <w:szCs w:val="21"/>
          <w:highlight w:val="none"/>
        </w:rPr>
        <w:t>为人民币</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u w:val="single"/>
          <w:lang w:val="en-US" w:eastAsia="zh-CN"/>
        </w:rPr>
        <w:t xml:space="preserve">        </w:t>
      </w:r>
      <w:r>
        <w:rPr>
          <w:rFonts w:hint="eastAsia" w:ascii="宋体" w:hAnsi="宋体" w:eastAsia="宋体" w:cs="宋体"/>
          <w:color w:val="000000"/>
          <w:sz w:val="21"/>
          <w:szCs w:val="21"/>
          <w:highlight w:val="none"/>
          <w:u w:val="single"/>
        </w:rPr>
        <w:t xml:space="preserve"> </w:t>
      </w:r>
      <w:r>
        <w:rPr>
          <w:rFonts w:hint="eastAsia" w:ascii="宋体" w:hAnsi="宋体" w:eastAsia="宋体" w:cs="宋体"/>
          <w:color w:val="000000"/>
          <w:sz w:val="21"/>
          <w:szCs w:val="21"/>
          <w:highlight w:val="none"/>
        </w:rPr>
        <w:t>元，大写:</w:t>
      </w:r>
      <w:r>
        <w:rPr>
          <w:rFonts w:hint="eastAsia" w:ascii="宋体" w:hAnsi="宋体" w:eastAsia="宋体" w:cs="宋体"/>
          <w:color w:val="000000"/>
          <w:sz w:val="21"/>
          <w:szCs w:val="21"/>
          <w:highlight w:val="none"/>
          <w:u w:val="thick"/>
          <w:lang w:val="en-US" w:eastAsia="zh-CN"/>
        </w:rPr>
        <w:t xml:space="preserve">              </w:t>
      </w:r>
      <w:r>
        <w:rPr>
          <w:rFonts w:hint="eastAsia" w:ascii="宋体" w:hAnsi="宋体" w:eastAsia="宋体" w:cs="宋体"/>
          <w:color w:val="000000"/>
          <w:sz w:val="21"/>
          <w:szCs w:val="21"/>
          <w:highlight w:val="none"/>
          <w:u w:val="thick"/>
        </w:rPr>
        <w:t>元整，</w:t>
      </w:r>
      <w:r>
        <w:rPr>
          <w:rFonts w:hint="eastAsia" w:ascii="宋体" w:hAnsi="宋体" w:eastAsia="宋体" w:cs="宋体"/>
          <w:color w:val="000000"/>
          <w:sz w:val="21"/>
          <w:szCs w:val="21"/>
          <w:highlight w:val="none"/>
          <w:lang w:eastAsia="zh-CN"/>
        </w:rPr>
        <w:t>最终按</w:t>
      </w:r>
      <w:r>
        <w:rPr>
          <w:rFonts w:hint="eastAsia" w:ascii="宋体" w:hAnsi="宋体" w:eastAsia="宋体" w:cs="宋体"/>
          <w:color w:val="000000"/>
          <w:sz w:val="21"/>
          <w:szCs w:val="21"/>
          <w:highlight w:val="none"/>
          <w:lang w:val="en-US" w:eastAsia="zh-CN"/>
        </w:rPr>
        <w:t>甲方</w:t>
      </w:r>
      <w:r>
        <w:rPr>
          <w:rFonts w:hint="eastAsia" w:ascii="宋体" w:hAnsi="宋体" w:eastAsia="宋体" w:cs="宋体"/>
          <w:color w:val="000000"/>
          <w:spacing w:val="20"/>
          <w:kern w:val="0"/>
          <w:sz w:val="21"/>
          <w:szCs w:val="21"/>
          <w:highlight w:val="none"/>
          <w:u w:val="thick"/>
        </w:rPr>
        <w:t>实际</w:t>
      </w:r>
      <w:r>
        <w:rPr>
          <w:rFonts w:hint="eastAsia" w:ascii="宋体" w:hAnsi="宋体" w:eastAsia="宋体" w:cs="宋体"/>
          <w:color w:val="000000"/>
          <w:spacing w:val="20"/>
          <w:kern w:val="0"/>
          <w:sz w:val="21"/>
          <w:szCs w:val="21"/>
          <w:highlight w:val="none"/>
          <w:u w:val="thick"/>
          <w:lang w:val="en-US" w:eastAsia="zh-CN"/>
        </w:rPr>
        <w:t>参与疗休养</w:t>
      </w:r>
      <w:r>
        <w:rPr>
          <w:rFonts w:hint="eastAsia" w:ascii="宋体" w:hAnsi="宋体" w:eastAsia="宋体" w:cs="宋体"/>
          <w:color w:val="000000"/>
          <w:spacing w:val="20"/>
          <w:kern w:val="0"/>
          <w:sz w:val="21"/>
          <w:szCs w:val="21"/>
          <w:highlight w:val="none"/>
          <w:u w:val="thick"/>
        </w:rPr>
        <w:t>人数结算费用。</w:t>
      </w:r>
    </w:p>
    <w:p>
      <w:pPr>
        <w:widowControl/>
        <w:tabs>
          <w:tab w:val="left" w:pos="5565"/>
        </w:tabs>
        <w:adjustRightInd w:val="0"/>
        <w:spacing w:line="360" w:lineRule="auto"/>
        <w:ind w:firstLine="420" w:firstLineChars="200"/>
        <w:jc w:val="both"/>
        <w:textAlignment w:val="auto"/>
        <w:outlineLvl w:val="9"/>
        <w:rPr>
          <w:rFonts w:hint="eastAsia" w:ascii="宋体" w:hAnsi="宋体" w:eastAsia="宋体" w:cs="宋体"/>
          <w:b/>
          <w:bCs/>
          <w:color w:val="000000"/>
          <w:kern w:val="0"/>
          <w:sz w:val="21"/>
          <w:szCs w:val="21"/>
          <w:highlight w:val="none"/>
        </w:rPr>
      </w:pPr>
      <w:r>
        <w:rPr>
          <w:rFonts w:hint="eastAsia" w:ascii="宋体" w:hAnsi="宋体" w:eastAsia="宋体" w:cs="宋体"/>
          <w:color w:val="000000"/>
          <w:sz w:val="21"/>
          <w:szCs w:val="21"/>
          <w:highlight w:val="none"/>
        </w:rPr>
        <w:t>2、旅游费用支付方式：</w:t>
      </w:r>
    </w:p>
    <w:p>
      <w:pPr>
        <w:widowControl w:val="0"/>
        <w:adjustRightInd w:val="0"/>
        <w:spacing w:before="0" w:line="360" w:lineRule="auto"/>
        <w:ind w:firstLine="420" w:firstLineChars="200"/>
        <w:jc w:val="both"/>
        <w:textAlignment w:val="auto"/>
        <w:outlineLvl w:val="9"/>
        <w:rPr>
          <w:rFonts w:hint="eastAsia" w:ascii="宋体" w:hAnsi="宋体" w:eastAsia="宋体" w:cs="宋体"/>
          <w:color w:val="000000"/>
          <w:kern w:val="2"/>
          <w:sz w:val="21"/>
          <w:szCs w:val="21"/>
          <w:highlight w:val="none"/>
          <w:u w:val="thick"/>
          <w:lang w:val="en-US" w:eastAsia="zh-CN" w:bidi="ar-SA"/>
        </w:rPr>
      </w:pPr>
      <w:r>
        <w:rPr>
          <w:rFonts w:hint="eastAsia" w:ascii="宋体" w:hAnsi="宋体" w:eastAsia="宋体" w:cs="宋体"/>
          <w:color w:val="000000"/>
          <w:sz w:val="21"/>
          <w:szCs w:val="21"/>
          <w:highlight w:val="none"/>
        </w:rPr>
        <w:t>（1）</w:t>
      </w:r>
      <w:r>
        <w:rPr>
          <w:rFonts w:hint="eastAsia" w:ascii="宋体" w:hAnsi="宋体" w:eastAsia="宋体" w:cs="宋体"/>
          <w:color w:val="000000"/>
          <w:kern w:val="2"/>
          <w:sz w:val="21"/>
          <w:szCs w:val="21"/>
          <w:highlight w:val="none"/>
          <w:u w:val="thick"/>
          <w:lang w:val="en-US" w:eastAsia="zh-CN" w:bidi="ar-SA"/>
        </w:rPr>
        <w:t>乙方应在合同生效且甲方疗休养人员全部完成疗休养服务后，双方按实结算费用。各批次疗休养行程结束后，乙方按实际产生费用提供结算函（附本结算批次的线路、人数、总价等统计情况），经甲方确认并在乙方开具增值税普通发票后 30 个工作日内一次性支付实际产生的合同价款。</w:t>
      </w:r>
    </w:p>
    <w:p>
      <w:pPr>
        <w:pStyle w:val="2"/>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疗休养全部结束后，甲方将收集疗休养人员的评分表作为支付疗休养费用依据。《职工疗休养服务评分反馈表》具体内容详见招标文件。当次满意度平均分高于85分（含），支付当次疗休养费用的100%；当次满意度平均分高于75分（含）低于85分，扣减当次疗休养费用5%；当次满意度平均分低75分，扣减当次疗休养费用10%，低于60分为不合格（职工疗休养满意度测评表详见附件），本年度职工疗休养满意度测评结果综合评定为不合格的，下一年度疗休养服务合同自动终止。</w:t>
      </w:r>
    </w:p>
    <w:p>
      <w:pPr>
        <w:widowControl/>
        <w:numPr>
          <w:ilvl w:val="0"/>
          <w:numId w:val="50"/>
        </w:numPr>
        <w:adjustRightInd w:val="0"/>
        <w:snapToGrid w:val="0"/>
        <w:spacing w:line="360" w:lineRule="auto"/>
        <w:ind w:firstLine="420" w:firstLineChars="200"/>
        <w:jc w:val="both"/>
        <w:textAlignment w:val="auto"/>
        <w:outlineLvl w:val="9"/>
        <w:rPr>
          <w:rFonts w:hint="eastAsia" w:ascii="宋体" w:hAnsi="宋体" w:eastAsia="宋体" w:cs="宋体"/>
          <w:snapToGrid w:val="0"/>
          <w:color w:val="000000"/>
          <w:kern w:val="28"/>
          <w:sz w:val="21"/>
          <w:szCs w:val="21"/>
          <w:highlight w:val="none"/>
          <w:u w:val="thick"/>
          <w:lang w:val="en-US" w:eastAsia="zh-CN" w:bidi="ar-SA"/>
        </w:rPr>
      </w:pPr>
      <w:r>
        <w:rPr>
          <w:rFonts w:hint="eastAsia" w:ascii="宋体" w:hAnsi="宋体" w:eastAsia="宋体" w:cs="宋体"/>
          <w:snapToGrid w:val="0"/>
          <w:color w:val="000000"/>
          <w:kern w:val="28"/>
          <w:sz w:val="21"/>
          <w:szCs w:val="21"/>
          <w:highlight w:val="none"/>
          <w:u w:val="thick"/>
          <w:lang w:val="en-US" w:eastAsia="zh-CN" w:bidi="ar-SA"/>
        </w:rPr>
        <w:t>具体服务标准、行程，以双方最终议标结果为准。具体内容详见附件。</w:t>
      </w:r>
    </w:p>
    <w:p>
      <w:pPr>
        <w:tabs>
          <w:tab w:val="left" w:pos="5565"/>
        </w:tabs>
        <w:adjustRightInd w:val="0"/>
        <w:snapToGrid w:val="0"/>
        <w:spacing w:line="360" w:lineRule="auto"/>
        <w:ind w:firstLine="422"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第三条  人身意外伤害保险</w:t>
      </w:r>
    </w:p>
    <w:p>
      <w:pPr>
        <w:tabs>
          <w:tab w:val="left" w:pos="5565"/>
        </w:tabs>
        <w:adjustRightInd w:val="0"/>
        <w:snapToGrid w:val="0"/>
        <w:spacing w:line="360" w:lineRule="auto"/>
        <w:ind w:firstLine="422"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b/>
          <w:color w:val="000000"/>
          <w:sz w:val="21"/>
          <w:szCs w:val="21"/>
          <w:highlight w:val="none"/>
          <w:lang w:val="en-US" w:eastAsia="zh-CN"/>
        </w:rPr>
        <w:t>1、</w:t>
      </w:r>
      <w:r>
        <w:rPr>
          <w:rFonts w:hint="eastAsia" w:ascii="宋体" w:hAnsi="宋体" w:eastAsia="宋体" w:cs="宋体"/>
          <w:b/>
          <w:color w:val="000000"/>
          <w:sz w:val="21"/>
          <w:szCs w:val="21"/>
          <w:highlight w:val="none"/>
        </w:rPr>
        <w:t>旅行社</w:t>
      </w:r>
      <w:r>
        <w:rPr>
          <w:rFonts w:hint="eastAsia" w:ascii="宋体" w:hAnsi="宋体" w:eastAsia="宋体" w:cs="宋体"/>
          <w:b/>
          <w:color w:val="000000"/>
          <w:sz w:val="21"/>
          <w:szCs w:val="21"/>
          <w:highlight w:val="none"/>
          <w:lang w:val="en-US" w:eastAsia="zh-CN"/>
        </w:rPr>
        <w:t>应为</w:t>
      </w:r>
      <w:r>
        <w:rPr>
          <w:rFonts w:hint="eastAsia" w:ascii="宋体" w:hAnsi="宋体" w:eastAsia="宋体" w:cs="宋体"/>
          <w:b/>
          <w:color w:val="000000"/>
          <w:sz w:val="21"/>
          <w:szCs w:val="21"/>
          <w:highlight w:val="none"/>
          <w:lang w:eastAsia="zh-CN"/>
        </w:rPr>
        <w:t>甲方</w:t>
      </w:r>
      <w:r>
        <w:rPr>
          <w:rFonts w:hint="eastAsia" w:ascii="宋体" w:hAnsi="宋体" w:eastAsia="宋体" w:cs="宋体"/>
          <w:b/>
          <w:color w:val="000000"/>
          <w:sz w:val="21"/>
          <w:szCs w:val="21"/>
          <w:highlight w:val="none"/>
          <w:lang w:val="en-US" w:eastAsia="zh-CN"/>
        </w:rPr>
        <w:t>疗休养人员</w:t>
      </w:r>
      <w:r>
        <w:rPr>
          <w:rFonts w:hint="eastAsia" w:ascii="宋体" w:hAnsi="宋体" w:eastAsia="宋体" w:cs="宋体"/>
          <w:b/>
          <w:color w:val="000000"/>
          <w:sz w:val="21"/>
          <w:szCs w:val="21"/>
          <w:highlight w:val="none"/>
        </w:rPr>
        <w:t>购买人身意外伤害保险（费用包含于投标综合单价中）</w:t>
      </w:r>
      <w:r>
        <w:rPr>
          <w:rFonts w:hint="eastAsia" w:ascii="宋体" w:hAnsi="宋体" w:eastAsia="宋体" w:cs="宋体"/>
          <w:color w:val="000000"/>
          <w:sz w:val="21"/>
          <w:szCs w:val="21"/>
          <w:highlight w:val="none"/>
        </w:rPr>
        <w:t>。</w:t>
      </w:r>
    </w:p>
    <w:p>
      <w:pPr>
        <w:tabs>
          <w:tab w:val="left" w:pos="5565"/>
        </w:tabs>
        <w:adjustRightInd w:val="0"/>
        <w:snapToGrid w:val="0"/>
        <w:spacing w:line="360" w:lineRule="auto"/>
        <w:ind w:firstLine="422"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lang w:eastAsia="zh-CN"/>
        </w:rPr>
        <w:t>甲方</w:t>
      </w:r>
      <w:r>
        <w:rPr>
          <w:rFonts w:hint="eastAsia" w:ascii="宋体" w:hAnsi="宋体" w:eastAsia="宋体" w:cs="宋体"/>
          <w:b/>
          <w:color w:val="000000"/>
          <w:sz w:val="21"/>
          <w:szCs w:val="21"/>
          <w:highlight w:val="none"/>
          <w:u w:val="single"/>
        </w:rPr>
        <w:t xml:space="preserve">  同意   </w:t>
      </w:r>
      <w:r>
        <w:rPr>
          <w:rFonts w:hint="eastAsia" w:ascii="宋体" w:hAnsi="宋体" w:eastAsia="宋体" w:cs="宋体"/>
          <w:b/>
          <w:color w:val="000000"/>
          <w:sz w:val="21"/>
          <w:szCs w:val="21"/>
          <w:highlight w:val="none"/>
        </w:rPr>
        <w:t>委托旅行社办理</w:t>
      </w:r>
      <w:r>
        <w:rPr>
          <w:rFonts w:hint="eastAsia" w:ascii="宋体" w:hAnsi="宋体" w:eastAsia="宋体" w:cs="宋体"/>
          <w:b/>
          <w:color w:val="000000"/>
          <w:sz w:val="21"/>
          <w:szCs w:val="21"/>
          <w:highlight w:val="none"/>
          <w:lang w:val="en-US" w:eastAsia="zh-CN"/>
        </w:rPr>
        <w:t>甲方参与疗休养人员</w:t>
      </w:r>
      <w:r>
        <w:rPr>
          <w:rFonts w:hint="eastAsia" w:ascii="宋体" w:hAnsi="宋体" w:eastAsia="宋体" w:cs="宋体"/>
          <w:b/>
          <w:color w:val="000000"/>
          <w:sz w:val="21"/>
          <w:szCs w:val="21"/>
          <w:highlight w:val="none"/>
        </w:rPr>
        <w:t>的人身意外伤害保险。</w:t>
      </w:r>
    </w:p>
    <w:p>
      <w:pPr>
        <w:tabs>
          <w:tab w:val="left" w:pos="5565"/>
        </w:tabs>
        <w:adjustRightInd w:val="0"/>
        <w:snapToGrid w:val="0"/>
        <w:spacing w:line="360" w:lineRule="auto"/>
        <w:ind w:firstLine="422"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保险产品名称：</w:t>
      </w:r>
      <w:r>
        <w:rPr>
          <w:rFonts w:hint="eastAsia" w:ascii="宋体" w:hAnsi="宋体" w:eastAsia="宋体" w:cs="宋体"/>
          <w:b/>
          <w:color w:val="000000"/>
          <w:sz w:val="21"/>
          <w:szCs w:val="21"/>
          <w:highlight w:val="none"/>
          <w:u w:val="single"/>
        </w:rPr>
        <w:t xml:space="preserve"> 国内旅行意外伤害保险    </w:t>
      </w:r>
      <w:r>
        <w:rPr>
          <w:rFonts w:hint="eastAsia" w:ascii="宋体" w:hAnsi="宋体" w:eastAsia="宋体" w:cs="宋体"/>
          <w:b/>
          <w:color w:val="000000"/>
          <w:sz w:val="21"/>
          <w:szCs w:val="21"/>
          <w:highlight w:val="none"/>
        </w:rPr>
        <w:t>，保险人：</w:t>
      </w:r>
      <w:r>
        <w:rPr>
          <w:rFonts w:hint="eastAsia" w:ascii="宋体" w:hAnsi="宋体" w:eastAsia="宋体" w:cs="宋体"/>
          <w:b/>
          <w:color w:val="000000"/>
          <w:sz w:val="21"/>
          <w:szCs w:val="21"/>
          <w:highlight w:val="none"/>
          <w:u w:val="single"/>
          <w:lang w:val="en-US" w:eastAsia="zh-CN"/>
        </w:rPr>
        <w:t xml:space="preserve">     </w:t>
      </w:r>
      <w:r>
        <w:rPr>
          <w:rFonts w:hint="eastAsia" w:ascii="宋体" w:hAnsi="宋体" w:eastAsia="宋体" w:cs="宋体"/>
          <w:b/>
          <w:color w:val="000000"/>
          <w:sz w:val="21"/>
          <w:szCs w:val="21"/>
          <w:highlight w:val="none"/>
          <w:u w:val="single"/>
        </w:rPr>
        <w:t xml:space="preserve">   </w:t>
      </w:r>
      <w:r>
        <w:rPr>
          <w:rFonts w:hint="eastAsia" w:ascii="宋体" w:hAnsi="宋体" w:eastAsia="宋体" w:cs="宋体"/>
          <w:b/>
          <w:color w:val="000000"/>
          <w:sz w:val="21"/>
          <w:szCs w:val="21"/>
          <w:highlight w:val="none"/>
        </w:rPr>
        <w:t>，保险费：</w:t>
      </w:r>
      <w:r>
        <w:rPr>
          <w:rFonts w:hint="eastAsia" w:ascii="宋体" w:hAnsi="宋体" w:eastAsia="宋体" w:cs="宋体"/>
          <w:b/>
          <w:color w:val="000000"/>
          <w:sz w:val="21"/>
          <w:szCs w:val="21"/>
          <w:highlight w:val="none"/>
          <w:u w:val="single"/>
        </w:rPr>
        <w:t xml:space="preserve"> </w:t>
      </w:r>
      <w:r>
        <w:rPr>
          <w:rFonts w:hint="eastAsia" w:ascii="宋体" w:hAnsi="宋体" w:eastAsia="宋体" w:cs="宋体"/>
          <w:b/>
          <w:color w:val="000000"/>
          <w:sz w:val="21"/>
          <w:szCs w:val="21"/>
          <w:highlight w:val="none"/>
          <w:u w:val="single"/>
          <w:lang w:val="en-US" w:eastAsia="zh-CN"/>
        </w:rPr>
        <w:t xml:space="preserve">    </w:t>
      </w:r>
      <w:r>
        <w:rPr>
          <w:rFonts w:hint="eastAsia" w:ascii="宋体" w:hAnsi="宋体" w:eastAsia="宋体" w:cs="宋体"/>
          <w:b/>
          <w:color w:val="000000"/>
          <w:sz w:val="21"/>
          <w:szCs w:val="21"/>
          <w:highlight w:val="none"/>
          <w:u w:val="single"/>
        </w:rPr>
        <w:t xml:space="preserve">/人  </w:t>
      </w:r>
      <w:r>
        <w:rPr>
          <w:rFonts w:hint="eastAsia" w:ascii="宋体" w:hAnsi="宋体" w:eastAsia="宋体" w:cs="宋体"/>
          <w:b/>
          <w:color w:val="000000"/>
          <w:sz w:val="21"/>
          <w:szCs w:val="21"/>
          <w:highlight w:val="none"/>
        </w:rPr>
        <w:t>，保险金额（根据保单填写）：</w:t>
      </w:r>
      <w:r>
        <w:rPr>
          <w:rFonts w:hint="eastAsia" w:ascii="宋体" w:hAnsi="宋体" w:eastAsia="宋体" w:cs="宋体"/>
          <w:b/>
          <w:color w:val="000000"/>
          <w:sz w:val="21"/>
          <w:szCs w:val="21"/>
          <w:highlight w:val="none"/>
          <w:u w:val="single"/>
        </w:rPr>
        <w:t xml:space="preserve"> 最高理赔保额：</w:t>
      </w:r>
      <w:r>
        <w:rPr>
          <w:rFonts w:hint="eastAsia" w:ascii="宋体" w:hAnsi="宋体" w:eastAsia="宋体" w:cs="宋体"/>
          <w:b/>
          <w:color w:val="000000"/>
          <w:sz w:val="21"/>
          <w:szCs w:val="21"/>
          <w:highlight w:val="none"/>
          <w:u w:val="single"/>
          <w:lang w:val="en-US" w:eastAsia="zh-CN"/>
        </w:rPr>
        <w:t xml:space="preserve">    </w:t>
      </w:r>
      <w:r>
        <w:rPr>
          <w:rFonts w:hint="eastAsia" w:ascii="宋体" w:hAnsi="宋体" w:eastAsia="宋体" w:cs="宋体"/>
          <w:b/>
          <w:color w:val="000000"/>
          <w:sz w:val="21"/>
          <w:szCs w:val="21"/>
          <w:highlight w:val="none"/>
          <w:u w:val="single"/>
        </w:rPr>
        <w:t xml:space="preserve">万      </w:t>
      </w:r>
      <w:r>
        <w:rPr>
          <w:rFonts w:hint="eastAsia" w:ascii="宋体" w:hAnsi="宋体" w:eastAsia="宋体" w:cs="宋体"/>
          <w:b/>
          <w:color w:val="000000"/>
          <w:sz w:val="21"/>
          <w:szCs w:val="21"/>
          <w:highlight w:val="none"/>
        </w:rPr>
        <w:t>。</w:t>
      </w:r>
    </w:p>
    <w:p>
      <w:pPr>
        <w:pStyle w:val="2"/>
        <w:spacing w:line="360" w:lineRule="auto"/>
        <w:ind w:firstLine="422" w:firstLineChars="200"/>
        <w:rPr>
          <w:rFonts w:hint="eastAsia" w:ascii="宋体" w:hAnsi="宋体" w:eastAsia="宋体" w:cs="宋体"/>
          <w:sz w:val="21"/>
          <w:szCs w:val="21"/>
          <w:lang w:val="en-US" w:eastAsia="zh-CN"/>
        </w:rPr>
      </w:pPr>
      <w:r>
        <w:rPr>
          <w:rFonts w:hint="eastAsia" w:ascii="宋体" w:hAnsi="宋体" w:eastAsia="宋体" w:cs="宋体"/>
          <w:b/>
          <w:color w:val="000000"/>
          <w:sz w:val="21"/>
          <w:szCs w:val="21"/>
          <w:highlight w:val="none"/>
          <w:lang w:val="en-US" w:eastAsia="zh-CN"/>
        </w:rPr>
        <w:t>2、若乙方未为甲方疗休养人员购买相应人身意外伤害保险，一旦发生任何事故（包含人身损害及财产损失）,均由乙方承担相应的损失。</w:t>
      </w:r>
    </w:p>
    <w:p>
      <w:pPr>
        <w:adjustRightInd w:val="0"/>
        <w:spacing w:line="360" w:lineRule="auto"/>
        <w:ind w:firstLine="422"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b/>
          <w:color w:val="000000"/>
          <w:sz w:val="21"/>
          <w:szCs w:val="21"/>
          <w:highlight w:val="none"/>
        </w:rPr>
        <w:t>第</w:t>
      </w:r>
      <w:r>
        <w:rPr>
          <w:rFonts w:hint="eastAsia" w:ascii="宋体" w:hAnsi="宋体" w:eastAsia="宋体" w:cs="宋体"/>
          <w:b/>
          <w:color w:val="000000"/>
          <w:sz w:val="21"/>
          <w:szCs w:val="21"/>
          <w:highlight w:val="none"/>
          <w:lang w:val="en-US" w:eastAsia="zh-CN"/>
        </w:rPr>
        <w:t>四</w:t>
      </w:r>
      <w:r>
        <w:rPr>
          <w:rFonts w:hint="eastAsia" w:ascii="宋体" w:hAnsi="宋体" w:eastAsia="宋体" w:cs="宋体"/>
          <w:b/>
          <w:color w:val="000000"/>
          <w:sz w:val="21"/>
          <w:szCs w:val="21"/>
          <w:highlight w:val="none"/>
        </w:rPr>
        <w:t xml:space="preserve">条  </w:t>
      </w:r>
      <w:r>
        <w:rPr>
          <w:rFonts w:hint="eastAsia" w:ascii="宋体" w:hAnsi="宋体" w:eastAsia="宋体" w:cs="宋体"/>
          <w:b/>
          <w:color w:val="000000"/>
          <w:sz w:val="21"/>
          <w:szCs w:val="21"/>
          <w:highlight w:val="none"/>
          <w:lang w:eastAsia="zh-CN"/>
        </w:rPr>
        <w:t>甲方</w:t>
      </w:r>
      <w:r>
        <w:rPr>
          <w:rFonts w:hint="eastAsia" w:ascii="宋体" w:hAnsi="宋体" w:eastAsia="宋体" w:cs="宋体"/>
          <w:b/>
          <w:color w:val="000000"/>
          <w:sz w:val="21"/>
          <w:szCs w:val="21"/>
          <w:highlight w:val="none"/>
        </w:rPr>
        <w:t>的权利</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1、有权自主选择旅游产品和服务，有权拒绝旅行社及其工作人员的强制交易行为。</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2、有权知悉其购买的旅游产品和服务的真实情况，有权要求旅行社按照合同约定提供产品和服务。</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参与疗休养人员</w:t>
      </w:r>
      <w:r>
        <w:rPr>
          <w:rFonts w:hint="eastAsia" w:ascii="宋体" w:hAnsi="宋体" w:eastAsia="宋体" w:cs="宋体"/>
          <w:color w:val="000000"/>
          <w:sz w:val="21"/>
          <w:szCs w:val="21"/>
          <w:highlight w:val="none"/>
        </w:rPr>
        <w:t>在人身、财产安全遇有危险时，有请求救助和保护的权利；当人身、财产受到侵害时，有依法获得赔偿的权利。</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4、在合法权益受到损害时，有权向旅游、工商等部门投诉或者要求旅行社协助索赔。</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5、《中华人民共和国旅游法》、《中华人民共和国消费者权益保护法》和有关法律、法规赋予</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的其他权利。</w:t>
      </w:r>
    </w:p>
    <w:p>
      <w:pPr>
        <w:adjustRightInd w:val="0"/>
        <w:spacing w:line="360" w:lineRule="auto"/>
        <w:ind w:firstLine="422"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第</w:t>
      </w:r>
      <w:r>
        <w:rPr>
          <w:rFonts w:hint="eastAsia" w:ascii="宋体" w:hAnsi="宋体" w:eastAsia="宋体" w:cs="宋体"/>
          <w:b/>
          <w:color w:val="000000"/>
          <w:sz w:val="21"/>
          <w:szCs w:val="21"/>
          <w:highlight w:val="none"/>
          <w:lang w:val="en-US" w:eastAsia="zh-CN"/>
        </w:rPr>
        <w:t>五</w:t>
      </w:r>
      <w:r>
        <w:rPr>
          <w:rFonts w:hint="eastAsia" w:ascii="宋体" w:hAnsi="宋体" w:eastAsia="宋体" w:cs="宋体"/>
          <w:b/>
          <w:color w:val="000000"/>
          <w:sz w:val="21"/>
          <w:szCs w:val="21"/>
          <w:highlight w:val="none"/>
        </w:rPr>
        <w:t xml:space="preserve">条  </w:t>
      </w:r>
      <w:r>
        <w:rPr>
          <w:rFonts w:hint="eastAsia" w:ascii="宋体" w:hAnsi="宋体" w:eastAsia="宋体" w:cs="宋体"/>
          <w:b/>
          <w:color w:val="000000"/>
          <w:sz w:val="21"/>
          <w:szCs w:val="21"/>
          <w:highlight w:val="none"/>
          <w:lang w:eastAsia="zh-CN"/>
        </w:rPr>
        <w:t>甲方</w:t>
      </w:r>
      <w:r>
        <w:rPr>
          <w:rFonts w:hint="eastAsia" w:ascii="宋体" w:hAnsi="宋体" w:eastAsia="宋体" w:cs="宋体"/>
          <w:b/>
          <w:color w:val="000000"/>
          <w:sz w:val="21"/>
          <w:szCs w:val="21"/>
          <w:highlight w:val="none"/>
        </w:rPr>
        <w:t>的义务</w:t>
      </w:r>
    </w:p>
    <w:p>
      <w:pPr>
        <w:adjustRightInd w:val="0"/>
        <w:spacing w:line="360" w:lineRule="auto"/>
        <w:ind w:firstLine="420"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color w:val="000000"/>
          <w:sz w:val="21"/>
          <w:szCs w:val="21"/>
          <w:highlight w:val="none"/>
        </w:rPr>
        <w:t>1、如实告知与旅游活动相关的个人健康信息，确保身体健康状况适宜本次旅游；如实填写相关的个人信息，确保所持身份证在出游期间有效。</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lang w:eastAsia="zh-CN"/>
        </w:rPr>
      </w:pPr>
      <w:r>
        <w:rPr>
          <w:rFonts w:hint="eastAsia" w:ascii="宋体" w:hAnsi="宋体" w:eastAsia="宋体" w:cs="宋体"/>
          <w:color w:val="000000"/>
          <w:kern w:val="0"/>
          <w:sz w:val="21"/>
          <w:szCs w:val="21"/>
          <w:highlight w:val="none"/>
        </w:rPr>
        <w:t>2、</w:t>
      </w:r>
      <w:r>
        <w:rPr>
          <w:rFonts w:hint="eastAsia" w:ascii="宋体" w:hAnsi="宋体" w:eastAsia="宋体" w:cs="宋体"/>
          <w:color w:val="000000"/>
          <w:kern w:val="0"/>
          <w:sz w:val="21"/>
          <w:szCs w:val="21"/>
          <w:highlight w:val="none"/>
          <w:lang w:eastAsia="zh-CN"/>
        </w:rPr>
        <w:t>甲方</w:t>
      </w:r>
      <w:r>
        <w:rPr>
          <w:rFonts w:hint="eastAsia" w:ascii="宋体" w:hAnsi="宋体" w:eastAsia="宋体" w:cs="宋体"/>
          <w:color w:val="000000"/>
          <w:kern w:val="0"/>
          <w:sz w:val="21"/>
          <w:szCs w:val="21"/>
          <w:highlight w:val="none"/>
        </w:rPr>
        <w:t>应当</w:t>
      </w:r>
      <w:r>
        <w:rPr>
          <w:rFonts w:hint="eastAsia" w:ascii="宋体" w:hAnsi="宋体" w:eastAsia="宋体" w:cs="宋体"/>
          <w:color w:val="000000"/>
          <w:sz w:val="21"/>
          <w:szCs w:val="21"/>
          <w:highlight w:val="none"/>
        </w:rPr>
        <w:t>按照合同约定支付旅游费用</w:t>
      </w:r>
      <w:r>
        <w:rPr>
          <w:rFonts w:hint="eastAsia" w:ascii="宋体" w:hAnsi="宋体" w:eastAsia="宋体" w:cs="宋体"/>
          <w:color w:val="000000"/>
          <w:sz w:val="21"/>
          <w:szCs w:val="21"/>
          <w:highlight w:val="none"/>
          <w:lang w:eastAsia="zh-CN"/>
        </w:rPr>
        <w:t>。</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不得擅自脱团，如有特殊情况需要暂时离团的，</w:t>
      </w:r>
      <w:r>
        <w:rPr>
          <w:rFonts w:hint="eastAsia" w:ascii="宋体" w:hAnsi="宋体" w:eastAsia="宋体" w:cs="宋体"/>
          <w:color w:val="000000"/>
          <w:sz w:val="21"/>
          <w:szCs w:val="21"/>
          <w:highlight w:val="none"/>
          <w:lang w:val="en-US" w:eastAsia="zh-CN"/>
        </w:rPr>
        <w:t>应及时告知导游</w:t>
      </w:r>
      <w:r>
        <w:rPr>
          <w:rFonts w:hint="eastAsia" w:ascii="宋体" w:hAnsi="宋体" w:eastAsia="宋体" w:cs="宋体"/>
          <w:color w:val="000000"/>
          <w:sz w:val="21"/>
          <w:szCs w:val="21"/>
          <w:highlight w:val="none"/>
        </w:rPr>
        <w:t>。自行安排活动期间，应当在自己能够控制风险的范围内选择活动项目，并对自己的安全负责。行程中，应妥善保管自己的行李物品，</w:t>
      </w:r>
      <w:r>
        <w:rPr>
          <w:rFonts w:hint="eastAsia" w:ascii="宋体" w:hAnsi="宋体" w:eastAsia="宋体" w:cs="宋体"/>
          <w:color w:val="000000"/>
          <w:kern w:val="0"/>
          <w:sz w:val="21"/>
          <w:szCs w:val="21"/>
          <w:highlight w:val="none"/>
        </w:rPr>
        <w:t>现金、有价证券、贵重物品</w:t>
      </w:r>
      <w:r>
        <w:rPr>
          <w:rFonts w:hint="eastAsia" w:ascii="宋体" w:hAnsi="宋体" w:eastAsia="宋体" w:cs="宋体"/>
          <w:color w:val="000000"/>
          <w:sz w:val="21"/>
          <w:szCs w:val="21"/>
          <w:highlight w:val="none"/>
        </w:rPr>
        <w:t xml:space="preserve">应随身携带。  </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4、遵守旅游活动中的安全警示规定，对国家应对重大突发事件暂时限制旅游活动的措施以及有关部门、机构或者旅游经营者采取的安全防范和应急处置措施，应当予以配合。</w:t>
      </w:r>
      <w:r>
        <w:rPr>
          <w:rFonts w:hint="eastAsia" w:ascii="宋体" w:hAnsi="宋体" w:eastAsia="宋体" w:cs="宋体"/>
          <w:color w:val="000000"/>
          <w:sz w:val="21"/>
          <w:szCs w:val="21"/>
          <w:highlight w:val="none"/>
          <w:lang w:val="en-US" w:eastAsia="zh-CN"/>
        </w:rPr>
        <w:t>若</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疗休养人员</w:t>
      </w:r>
      <w:r>
        <w:rPr>
          <w:rFonts w:hint="eastAsia" w:ascii="宋体" w:hAnsi="宋体" w:eastAsia="宋体" w:cs="宋体"/>
          <w:color w:val="000000"/>
          <w:sz w:val="21"/>
          <w:szCs w:val="21"/>
          <w:highlight w:val="none"/>
        </w:rPr>
        <w:t>违反安全警示规定，或者对国家应对重大突发事件暂时限制旅游活动的措施、安全防范和应急处置措施不予配合的，依法承担相应责任。</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5、在旅游活动中或者在解决纠纷时，不得损害当地居民的合法权益，不得干扰他人的旅游活动，不得损害旅游经营者和旅游从业人员的合法权益。</w:t>
      </w:r>
    </w:p>
    <w:p>
      <w:pPr>
        <w:adjustRightInd w:val="0"/>
        <w:spacing w:line="360" w:lineRule="auto"/>
        <w:ind w:firstLine="420" w:firstLineChars="200"/>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color w:val="000000"/>
          <w:sz w:val="21"/>
          <w:szCs w:val="21"/>
          <w:highlight w:val="none"/>
        </w:rPr>
        <w:t>6、应当遵守社会公共秩序和社会公德，尊重当地的风俗习惯、文化传统和宗教信仰，爱护旅游资源，保护生态环境，</w:t>
      </w:r>
      <w:r>
        <w:rPr>
          <w:rFonts w:hint="eastAsia" w:ascii="宋体" w:hAnsi="宋体" w:eastAsia="宋体" w:cs="宋体"/>
          <w:b/>
          <w:color w:val="000000"/>
          <w:sz w:val="21"/>
          <w:szCs w:val="21"/>
          <w:highlight w:val="none"/>
        </w:rPr>
        <w:t>遵守《中国公民境内旅游文明行为公约》</w:t>
      </w:r>
      <w:r>
        <w:rPr>
          <w:rFonts w:hint="eastAsia" w:ascii="宋体" w:hAnsi="宋体" w:eastAsia="宋体" w:cs="宋体"/>
          <w:color w:val="000000"/>
          <w:sz w:val="21"/>
          <w:szCs w:val="21"/>
          <w:highlight w:val="none"/>
        </w:rPr>
        <w:t>。</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7、与旅行社发生纠纷时，</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应当积极采取措施防止损失扩大。</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8、在合法权益受到损害要求旅行社协助索赔时，提供合法有效的凭据。</w:t>
      </w:r>
    </w:p>
    <w:p>
      <w:pPr>
        <w:adjustRightInd w:val="0"/>
        <w:spacing w:line="360" w:lineRule="auto"/>
        <w:ind w:firstLine="422"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第</w:t>
      </w:r>
      <w:r>
        <w:rPr>
          <w:rFonts w:hint="eastAsia" w:ascii="宋体" w:hAnsi="宋体" w:eastAsia="宋体" w:cs="宋体"/>
          <w:b/>
          <w:color w:val="000000"/>
          <w:sz w:val="21"/>
          <w:szCs w:val="21"/>
          <w:highlight w:val="none"/>
          <w:lang w:val="en-US" w:eastAsia="zh-CN"/>
        </w:rPr>
        <w:t>六</w:t>
      </w:r>
      <w:r>
        <w:rPr>
          <w:rFonts w:hint="eastAsia" w:ascii="宋体" w:hAnsi="宋体" w:eastAsia="宋体" w:cs="宋体"/>
          <w:b/>
          <w:color w:val="000000"/>
          <w:sz w:val="21"/>
          <w:szCs w:val="21"/>
          <w:highlight w:val="none"/>
        </w:rPr>
        <w:t>条  旅行社的权利</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1、核实</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提供的相关信息资料，根据</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参与疗休养人员</w:t>
      </w:r>
      <w:r>
        <w:rPr>
          <w:rFonts w:hint="eastAsia" w:ascii="宋体" w:hAnsi="宋体" w:eastAsia="宋体" w:cs="宋体"/>
          <w:color w:val="000000"/>
          <w:sz w:val="21"/>
          <w:szCs w:val="21"/>
          <w:highlight w:val="none"/>
        </w:rPr>
        <w:t>的身体健康状况及相关条件</w:t>
      </w:r>
      <w:r>
        <w:rPr>
          <w:rFonts w:hint="eastAsia" w:ascii="宋体" w:hAnsi="宋体" w:eastAsia="宋体" w:cs="宋体"/>
          <w:color w:val="000000"/>
          <w:sz w:val="21"/>
          <w:szCs w:val="21"/>
          <w:highlight w:val="none"/>
          <w:lang w:val="en-US" w:eastAsia="zh-CN"/>
        </w:rPr>
        <w:t>提供相应的协助。</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2、按照合同约定向</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收取旅游费用。</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w:t>
      </w:r>
      <w:r>
        <w:rPr>
          <w:rFonts w:hint="eastAsia" w:ascii="宋体" w:hAnsi="宋体" w:eastAsia="宋体" w:cs="宋体"/>
          <w:bCs/>
          <w:color w:val="000000"/>
          <w:sz w:val="21"/>
          <w:szCs w:val="21"/>
          <w:highlight w:val="none"/>
        </w:rPr>
        <w:t>劝阻</w:t>
      </w:r>
      <w:r>
        <w:rPr>
          <w:rFonts w:hint="eastAsia" w:ascii="宋体" w:hAnsi="宋体" w:eastAsia="宋体" w:cs="宋体"/>
          <w:bCs/>
          <w:color w:val="000000"/>
          <w:sz w:val="21"/>
          <w:szCs w:val="21"/>
          <w:highlight w:val="none"/>
          <w:lang w:eastAsia="zh-CN"/>
        </w:rPr>
        <w:t>甲方</w:t>
      </w:r>
      <w:r>
        <w:rPr>
          <w:rFonts w:hint="eastAsia" w:ascii="宋体" w:hAnsi="宋体" w:eastAsia="宋体" w:cs="宋体"/>
          <w:bCs/>
          <w:color w:val="000000"/>
          <w:sz w:val="21"/>
          <w:szCs w:val="21"/>
          <w:highlight w:val="none"/>
          <w:lang w:val="en-US" w:eastAsia="zh-CN"/>
        </w:rPr>
        <w:t>参与疗休养人员</w:t>
      </w:r>
      <w:r>
        <w:rPr>
          <w:rFonts w:hint="eastAsia" w:ascii="宋体" w:hAnsi="宋体" w:eastAsia="宋体" w:cs="宋体"/>
          <w:bCs/>
          <w:color w:val="000000"/>
          <w:sz w:val="21"/>
          <w:szCs w:val="21"/>
          <w:highlight w:val="none"/>
        </w:rPr>
        <w:t>违反法律、法规及社会公德的行为。如</w:t>
      </w:r>
      <w:r>
        <w:rPr>
          <w:rFonts w:hint="eastAsia" w:ascii="宋体" w:hAnsi="宋体" w:eastAsia="宋体" w:cs="宋体"/>
          <w:color w:val="000000"/>
          <w:sz w:val="21"/>
          <w:szCs w:val="21"/>
          <w:highlight w:val="none"/>
        </w:rPr>
        <w:t>旅游团队遇突发事件或者旅游安全事故时，可以采取紧急避险措施。</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4、</w:t>
      </w:r>
      <w:r>
        <w:rPr>
          <w:rFonts w:hint="eastAsia" w:ascii="宋体" w:hAnsi="宋体" w:eastAsia="宋体" w:cs="宋体"/>
          <w:color w:val="000000"/>
          <w:sz w:val="21"/>
          <w:szCs w:val="21"/>
          <w:highlight w:val="none"/>
          <w:lang w:val="en-US" w:eastAsia="zh-CN"/>
        </w:rPr>
        <w:t>告知</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疗休养人员</w:t>
      </w:r>
      <w:r>
        <w:rPr>
          <w:rFonts w:hint="eastAsia" w:ascii="宋体" w:hAnsi="宋体" w:eastAsia="宋体" w:cs="宋体"/>
          <w:color w:val="000000"/>
          <w:sz w:val="21"/>
          <w:szCs w:val="21"/>
          <w:highlight w:val="none"/>
        </w:rPr>
        <w:t>遵守合同约定的旅游行程安排。</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bCs/>
          <w:color w:val="000000"/>
          <w:sz w:val="21"/>
          <w:szCs w:val="21"/>
          <w:highlight w:val="none"/>
        </w:rPr>
        <w:t>5、</w:t>
      </w:r>
      <w:r>
        <w:rPr>
          <w:rFonts w:hint="eastAsia" w:ascii="宋体" w:hAnsi="宋体" w:eastAsia="宋体" w:cs="宋体"/>
          <w:color w:val="000000"/>
          <w:sz w:val="21"/>
          <w:szCs w:val="21"/>
          <w:highlight w:val="none"/>
        </w:rPr>
        <w:t>《中华人民共和国旅游法》和有关法律、法规赋予旅行社的其他权利。</w:t>
      </w:r>
    </w:p>
    <w:p>
      <w:pPr>
        <w:adjustRightInd w:val="0"/>
        <w:spacing w:line="360" w:lineRule="auto"/>
        <w:ind w:firstLine="422"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第</w:t>
      </w:r>
      <w:r>
        <w:rPr>
          <w:rFonts w:hint="eastAsia" w:ascii="宋体" w:hAnsi="宋体" w:eastAsia="宋体" w:cs="宋体"/>
          <w:b/>
          <w:color w:val="000000"/>
          <w:sz w:val="21"/>
          <w:szCs w:val="21"/>
          <w:highlight w:val="none"/>
          <w:lang w:val="en-US" w:eastAsia="zh-CN"/>
        </w:rPr>
        <w:t>七</w:t>
      </w:r>
      <w:r>
        <w:rPr>
          <w:rFonts w:hint="eastAsia" w:ascii="宋体" w:hAnsi="宋体" w:eastAsia="宋体" w:cs="宋体"/>
          <w:b/>
          <w:color w:val="000000"/>
          <w:sz w:val="21"/>
          <w:szCs w:val="21"/>
          <w:highlight w:val="none"/>
        </w:rPr>
        <w:t>条  旅行社的义务</w:t>
      </w:r>
    </w:p>
    <w:p>
      <w:pPr>
        <w:tabs>
          <w:tab w:val="left" w:pos="5565"/>
        </w:tabs>
        <w:adjustRightInd w:val="0"/>
        <w:spacing w:line="360" w:lineRule="auto"/>
        <w:ind w:firstLine="412"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pacing w:val="-2"/>
          <w:sz w:val="21"/>
          <w:szCs w:val="21"/>
          <w:highlight w:val="none"/>
        </w:rPr>
        <w:t>1、</w:t>
      </w:r>
      <w:r>
        <w:rPr>
          <w:rFonts w:hint="eastAsia" w:ascii="宋体" w:hAnsi="宋体" w:eastAsia="宋体" w:cs="宋体"/>
          <w:color w:val="000000"/>
          <w:sz w:val="21"/>
          <w:szCs w:val="21"/>
          <w:highlight w:val="none"/>
        </w:rPr>
        <w:t>投保旅行社责任险，按照合同约定的内容及标准为</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提供服务，不得擅自变更旅游行程安排。</w:t>
      </w:r>
    </w:p>
    <w:p>
      <w:pPr>
        <w:adjustRightInd w:val="0"/>
        <w:spacing w:line="360" w:lineRule="auto"/>
        <w:ind w:firstLine="420"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color w:val="000000"/>
          <w:sz w:val="21"/>
          <w:szCs w:val="21"/>
          <w:highlight w:val="none"/>
        </w:rPr>
        <w:t>2、应当在旅游行程开始前向</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提供标有团号、出发日期的《旅游行程单》，并对如下内容作出明确的说明：</w:t>
      </w:r>
    </w:p>
    <w:p>
      <w:pPr>
        <w:adjustRightInd w:val="0"/>
        <w:snapToGrid w:val="0"/>
        <w:spacing w:line="360" w:lineRule="auto"/>
        <w:ind w:firstLine="420" w:firstLineChars="200"/>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（1）旅游行程的出发地、途经地和目的地；</w:t>
      </w:r>
    </w:p>
    <w:p>
      <w:pPr>
        <w:adjustRightInd w:val="0"/>
        <w:snapToGrid w:val="0"/>
        <w:spacing w:line="360" w:lineRule="auto"/>
        <w:ind w:firstLine="420" w:firstLineChars="200"/>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（2）交通、住宿、餐饮等旅游服务安排和标准；</w:t>
      </w:r>
    </w:p>
    <w:p>
      <w:pPr>
        <w:adjustRightInd w:val="0"/>
        <w:snapToGrid w:val="0"/>
        <w:spacing w:line="360" w:lineRule="auto"/>
        <w:ind w:firstLine="420" w:firstLineChars="200"/>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（3）游览、娱乐等项目的具体内容和时间；</w:t>
      </w:r>
    </w:p>
    <w:p>
      <w:pPr>
        <w:adjustRightInd w:val="0"/>
        <w:snapToGrid w:val="0"/>
        <w:spacing w:line="360" w:lineRule="auto"/>
        <w:ind w:firstLine="420" w:firstLineChars="200"/>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（4）自由活动时间安排；</w:t>
      </w:r>
    </w:p>
    <w:p>
      <w:pPr>
        <w:adjustRightInd w:val="0"/>
        <w:snapToGrid w:val="0"/>
        <w:spacing w:line="360" w:lineRule="auto"/>
        <w:ind w:firstLine="420" w:firstLineChars="200"/>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（5）旅游目的地接待旅行社的名称、地址、联系人和联系电话。</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3</w:t>
      </w:r>
      <w:r>
        <w:rPr>
          <w:rFonts w:hint="eastAsia" w:ascii="宋体" w:hAnsi="宋体" w:eastAsia="宋体" w:cs="宋体"/>
          <w:color w:val="000000"/>
          <w:sz w:val="21"/>
          <w:szCs w:val="21"/>
          <w:highlight w:val="none"/>
        </w:rPr>
        <w:t>、旅行社未与</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协商一致或者未经</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书面同意</w:t>
      </w:r>
      <w:r>
        <w:rPr>
          <w:rFonts w:hint="eastAsia" w:ascii="宋体" w:hAnsi="宋体" w:eastAsia="宋体" w:cs="宋体"/>
          <w:color w:val="000000"/>
          <w:sz w:val="21"/>
          <w:szCs w:val="21"/>
          <w:highlight w:val="none"/>
        </w:rPr>
        <w:t>，指定购物场所、安排</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疗休养人员</w:t>
      </w:r>
      <w:r>
        <w:rPr>
          <w:rFonts w:hint="eastAsia" w:ascii="宋体" w:hAnsi="宋体" w:eastAsia="宋体" w:cs="宋体"/>
          <w:color w:val="000000"/>
          <w:sz w:val="21"/>
          <w:szCs w:val="21"/>
          <w:highlight w:val="none"/>
        </w:rPr>
        <w:t>参加另行付费项目，以及旅行社的导游、领队强迫或者变相强迫</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疗休养人员</w:t>
      </w:r>
      <w:r>
        <w:rPr>
          <w:rFonts w:hint="eastAsia" w:ascii="宋体" w:hAnsi="宋体" w:eastAsia="宋体" w:cs="宋体"/>
          <w:color w:val="000000"/>
          <w:sz w:val="21"/>
          <w:szCs w:val="21"/>
          <w:highlight w:val="none"/>
        </w:rPr>
        <w:t>购物、参加另行付费项目的，</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有权拒绝，</w:t>
      </w:r>
      <w:r>
        <w:rPr>
          <w:rFonts w:hint="eastAsia" w:ascii="宋体" w:hAnsi="宋体" w:eastAsia="宋体" w:cs="宋体"/>
          <w:color w:val="000000"/>
          <w:sz w:val="21"/>
          <w:szCs w:val="21"/>
          <w:highlight w:val="none"/>
          <w:lang w:val="en-US" w:eastAsia="zh-CN"/>
        </w:rPr>
        <w:t>同时有权不再支付相关批次旅游项目的费用</w:t>
      </w:r>
      <w:r>
        <w:rPr>
          <w:rFonts w:hint="eastAsia" w:ascii="宋体" w:hAnsi="宋体" w:eastAsia="宋体" w:cs="宋体"/>
          <w:color w:val="000000"/>
          <w:sz w:val="21"/>
          <w:szCs w:val="21"/>
          <w:highlight w:val="none"/>
        </w:rPr>
        <w:t>。</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4</w:t>
      </w:r>
      <w:r>
        <w:rPr>
          <w:rFonts w:hint="eastAsia" w:ascii="宋体" w:hAnsi="宋体" w:eastAsia="宋体" w:cs="宋体"/>
          <w:color w:val="000000"/>
          <w:sz w:val="21"/>
          <w:szCs w:val="21"/>
          <w:highlight w:val="none"/>
        </w:rPr>
        <w:t>、向</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提供的旅游服务信息必须真实、准确，不得作虚假宣传，误导</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。对</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提供</w:t>
      </w:r>
      <w:r>
        <w:rPr>
          <w:rFonts w:hint="eastAsia" w:ascii="宋体" w:hAnsi="宋体" w:eastAsia="宋体" w:cs="宋体"/>
          <w:color w:val="000000"/>
          <w:sz w:val="21"/>
          <w:szCs w:val="21"/>
          <w:highlight w:val="none"/>
        </w:rPr>
        <w:t>的个人信息，应当予以保密。</w:t>
      </w:r>
    </w:p>
    <w:p>
      <w:pPr>
        <w:tabs>
          <w:tab w:val="left" w:pos="5565"/>
        </w:tabs>
        <w:adjustRightInd w:val="0"/>
        <w:snapToGri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5</w:t>
      </w:r>
      <w:r>
        <w:rPr>
          <w:rFonts w:hint="eastAsia" w:ascii="宋体" w:hAnsi="宋体" w:eastAsia="宋体" w:cs="宋体"/>
          <w:color w:val="000000"/>
          <w:sz w:val="21"/>
          <w:szCs w:val="21"/>
          <w:highlight w:val="none"/>
        </w:rPr>
        <w:t>、所提供的服务应当符合保障</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疗休养人员的</w:t>
      </w:r>
      <w:r>
        <w:rPr>
          <w:rFonts w:hint="eastAsia" w:ascii="宋体" w:hAnsi="宋体" w:eastAsia="宋体" w:cs="宋体"/>
          <w:color w:val="000000"/>
          <w:sz w:val="21"/>
          <w:szCs w:val="21"/>
          <w:highlight w:val="none"/>
        </w:rPr>
        <w:t>人身、财产安全的要求。对可能危及</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人身、财产安全的事项和须注意的问题，向</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疗休养人员</w:t>
      </w:r>
      <w:r>
        <w:rPr>
          <w:rFonts w:hint="eastAsia" w:ascii="宋体" w:hAnsi="宋体" w:eastAsia="宋体" w:cs="宋体"/>
          <w:color w:val="000000"/>
          <w:sz w:val="21"/>
          <w:szCs w:val="21"/>
          <w:highlight w:val="none"/>
        </w:rPr>
        <w:t>做出真实的说明和明确的警示，并采取合理必要措施防止危害发生。</w:t>
      </w:r>
    </w:p>
    <w:p>
      <w:pPr>
        <w:tabs>
          <w:tab w:val="left" w:pos="5565"/>
        </w:tabs>
        <w:adjustRightInd w:val="0"/>
        <w:snapToGri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eastAsia="zh-CN"/>
        </w:rPr>
        <w:t>6</w:t>
      </w:r>
      <w:r>
        <w:rPr>
          <w:rFonts w:hint="eastAsia" w:ascii="宋体" w:hAnsi="宋体" w:eastAsia="宋体" w:cs="宋体"/>
          <w:color w:val="000000"/>
          <w:sz w:val="21"/>
          <w:szCs w:val="21"/>
          <w:highlight w:val="none"/>
        </w:rPr>
        <w:t>、突发事件或者旅游安全事故发生后，旅行社应当立即采取必要的救助和处置措施，依法履行报告义务，并对</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疗休养人员</w:t>
      </w:r>
      <w:r>
        <w:rPr>
          <w:rFonts w:hint="eastAsia" w:ascii="宋体" w:hAnsi="宋体" w:eastAsia="宋体" w:cs="宋体"/>
          <w:color w:val="000000"/>
          <w:sz w:val="21"/>
          <w:szCs w:val="21"/>
          <w:highlight w:val="none"/>
        </w:rPr>
        <w:t>作出妥善安排。</w:t>
      </w:r>
    </w:p>
    <w:p>
      <w:pPr>
        <w:adjustRightInd w:val="0"/>
        <w:spacing w:line="360" w:lineRule="auto"/>
        <w:ind w:firstLine="420"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color w:val="000000"/>
          <w:sz w:val="21"/>
          <w:szCs w:val="21"/>
          <w:highlight w:val="none"/>
          <w:lang w:eastAsia="zh-CN"/>
        </w:rPr>
        <w:t>7</w:t>
      </w:r>
      <w:r>
        <w:rPr>
          <w:rFonts w:hint="eastAsia" w:ascii="宋体" w:hAnsi="宋体" w:eastAsia="宋体" w:cs="宋体"/>
          <w:color w:val="000000"/>
          <w:sz w:val="21"/>
          <w:szCs w:val="21"/>
          <w:highlight w:val="none"/>
        </w:rPr>
        <w:t>、为旅游团队安排符合相关规定的持证导游人员。旅行社及其从业人员在组织、接待</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参与疗休养人员</w:t>
      </w:r>
      <w:r>
        <w:rPr>
          <w:rFonts w:hint="eastAsia" w:ascii="宋体" w:hAnsi="宋体" w:eastAsia="宋体" w:cs="宋体"/>
          <w:color w:val="000000"/>
          <w:sz w:val="21"/>
          <w:szCs w:val="21"/>
          <w:highlight w:val="none"/>
        </w:rPr>
        <w:t>过程中，不得安排参观或者参与违反我国法律、法规和社会公德的项目或者活动。</w:t>
      </w:r>
    </w:p>
    <w:p>
      <w:pPr>
        <w:tabs>
          <w:tab w:val="left" w:pos="5565"/>
        </w:tabs>
        <w:adjustRightInd w:val="0"/>
        <w:spacing w:line="360" w:lineRule="auto"/>
        <w:ind w:firstLine="422" w:firstLineChars="200"/>
        <w:jc w:val="both"/>
        <w:textAlignment w:val="auto"/>
        <w:outlineLvl w:val="9"/>
        <w:rPr>
          <w:rFonts w:hint="eastAsia" w:ascii="宋体" w:hAnsi="宋体" w:eastAsia="宋体" w:cs="宋体"/>
          <w:bCs/>
          <w:color w:val="000000"/>
          <w:sz w:val="21"/>
          <w:szCs w:val="21"/>
          <w:highlight w:val="none"/>
        </w:rPr>
      </w:pPr>
      <w:r>
        <w:rPr>
          <w:rFonts w:hint="eastAsia" w:ascii="宋体" w:hAnsi="宋体" w:eastAsia="宋体" w:cs="宋体"/>
          <w:b/>
          <w:color w:val="000000"/>
          <w:sz w:val="21"/>
          <w:szCs w:val="21"/>
          <w:highlight w:val="none"/>
        </w:rPr>
        <w:t>第</w:t>
      </w:r>
      <w:r>
        <w:rPr>
          <w:rFonts w:hint="eastAsia" w:ascii="宋体" w:hAnsi="宋体" w:eastAsia="宋体" w:cs="宋体"/>
          <w:b/>
          <w:color w:val="000000"/>
          <w:sz w:val="21"/>
          <w:szCs w:val="21"/>
          <w:highlight w:val="none"/>
          <w:lang w:val="en-US" w:eastAsia="zh-CN"/>
        </w:rPr>
        <w:t>八</w:t>
      </w:r>
      <w:r>
        <w:rPr>
          <w:rFonts w:hint="eastAsia" w:ascii="宋体" w:hAnsi="宋体" w:eastAsia="宋体" w:cs="宋体"/>
          <w:b/>
          <w:color w:val="000000"/>
          <w:sz w:val="21"/>
          <w:szCs w:val="21"/>
          <w:highlight w:val="none"/>
        </w:rPr>
        <w:t>条  合同的变更</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kern w:val="0"/>
          <w:sz w:val="21"/>
          <w:szCs w:val="21"/>
          <w:highlight w:val="none"/>
          <w:lang w:val="zh-CN"/>
        </w:rPr>
      </w:pPr>
      <w:r>
        <w:rPr>
          <w:rFonts w:hint="eastAsia" w:ascii="宋体" w:hAnsi="宋体" w:eastAsia="宋体" w:cs="宋体"/>
          <w:color w:val="000000"/>
          <w:kern w:val="0"/>
          <w:sz w:val="21"/>
          <w:szCs w:val="21"/>
          <w:highlight w:val="none"/>
        </w:rPr>
        <w:t>1、</w:t>
      </w:r>
      <w:r>
        <w:rPr>
          <w:rFonts w:hint="eastAsia" w:ascii="宋体" w:hAnsi="宋体" w:eastAsia="宋体" w:cs="宋体"/>
          <w:color w:val="000000"/>
          <w:kern w:val="0"/>
          <w:sz w:val="21"/>
          <w:szCs w:val="21"/>
          <w:highlight w:val="none"/>
          <w:lang w:val="zh-CN"/>
        </w:rPr>
        <w:t>双方协商一致，可以变更本合同约定的内容，但应当以书面形式由双方</w:t>
      </w:r>
      <w:r>
        <w:rPr>
          <w:rFonts w:hint="eastAsia" w:ascii="宋体" w:hAnsi="宋体" w:eastAsia="宋体" w:cs="宋体"/>
          <w:color w:val="000000"/>
          <w:kern w:val="0"/>
          <w:sz w:val="21"/>
          <w:szCs w:val="21"/>
          <w:highlight w:val="none"/>
          <w:lang w:val="en-US" w:eastAsia="zh-CN"/>
        </w:rPr>
        <w:t>盖章</w:t>
      </w:r>
      <w:r>
        <w:rPr>
          <w:rFonts w:hint="eastAsia" w:ascii="宋体" w:hAnsi="宋体" w:eastAsia="宋体" w:cs="宋体"/>
          <w:color w:val="000000"/>
          <w:kern w:val="0"/>
          <w:sz w:val="21"/>
          <w:szCs w:val="21"/>
          <w:highlight w:val="none"/>
          <w:lang w:val="zh-CN"/>
        </w:rPr>
        <w:t>确认。</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val="zh-CN"/>
        </w:rPr>
        <w:t>2、</w:t>
      </w:r>
      <w:r>
        <w:rPr>
          <w:rFonts w:hint="eastAsia" w:ascii="宋体" w:hAnsi="宋体" w:eastAsia="宋体" w:cs="宋体"/>
          <w:color w:val="000000"/>
          <w:sz w:val="21"/>
          <w:szCs w:val="21"/>
          <w:highlight w:val="none"/>
        </w:rPr>
        <w:t>因不可抗力或者旅行社、履行辅助人已尽合理注意义务仍不能避免的事件（指由于恶劣天气、自然灾害、战争、恐怖活动、动乱、骚乱、罢工、突发公共卫生事件、政府行为等客观原因，造成旅游行程安排的交通服务延误、景区临时关闭、宾馆饭店临时被征用、出境管制、边境关闭、目的地入境政策临时变更、政府机构发布橙色及以上旅游预警信息等）影响旅游行程的，按照下列情形处理：</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（1）合同不能继续履行的，</w:t>
      </w:r>
      <w:r>
        <w:rPr>
          <w:rFonts w:hint="eastAsia" w:ascii="宋体" w:hAnsi="宋体" w:eastAsia="宋体" w:cs="宋体"/>
          <w:color w:val="000000"/>
          <w:sz w:val="21"/>
          <w:szCs w:val="21"/>
          <w:highlight w:val="none"/>
          <w:lang w:val="en-US" w:eastAsia="zh-CN"/>
        </w:rPr>
        <w:t>甲方</w:t>
      </w:r>
      <w:r>
        <w:rPr>
          <w:rFonts w:hint="eastAsia" w:ascii="宋体" w:hAnsi="宋体" w:eastAsia="宋体" w:cs="宋体"/>
          <w:color w:val="000000"/>
          <w:sz w:val="21"/>
          <w:szCs w:val="21"/>
          <w:highlight w:val="none"/>
        </w:rPr>
        <w:t>可以解除合同。合同不能完全履行的，旅行社经向</w:t>
      </w:r>
      <w:r>
        <w:rPr>
          <w:rFonts w:hint="eastAsia" w:ascii="宋体" w:hAnsi="宋体" w:eastAsia="宋体" w:cs="宋体"/>
          <w:color w:val="000000"/>
          <w:sz w:val="21"/>
          <w:szCs w:val="21"/>
          <w:highlight w:val="none"/>
          <w:lang w:val="en-US" w:eastAsia="zh-CN"/>
        </w:rPr>
        <w:t>甲方</w:t>
      </w:r>
      <w:r>
        <w:rPr>
          <w:rFonts w:hint="eastAsia" w:ascii="宋体" w:hAnsi="宋体" w:eastAsia="宋体" w:cs="宋体"/>
          <w:color w:val="000000"/>
          <w:sz w:val="21"/>
          <w:szCs w:val="21"/>
          <w:highlight w:val="none"/>
        </w:rPr>
        <w:t>作出说明，可以在合理范围内变更合同</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lang w:val="en-US" w:eastAsia="zh-CN"/>
        </w:rPr>
        <w:t>合同变更范围应当优于之前双方确定的条件，</w:t>
      </w:r>
      <w:r>
        <w:rPr>
          <w:rFonts w:hint="eastAsia" w:ascii="宋体" w:hAnsi="宋体" w:eastAsia="宋体" w:cs="宋体"/>
          <w:color w:val="000000"/>
          <w:sz w:val="21"/>
          <w:szCs w:val="21"/>
          <w:highlight w:val="none"/>
        </w:rPr>
        <w:t>增加的费用由</w:t>
      </w:r>
      <w:r>
        <w:rPr>
          <w:rFonts w:hint="eastAsia" w:ascii="宋体" w:hAnsi="宋体" w:eastAsia="宋体" w:cs="宋体"/>
          <w:color w:val="000000"/>
          <w:sz w:val="21"/>
          <w:szCs w:val="21"/>
          <w:highlight w:val="none"/>
          <w:lang w:val="en-US" w:eastAsia="zh-CN"/>
        </w:rPr>
        <w:t>乙方</w:t>
      </w:r>
      <w:r>
        <w:rPr>
          <w:rFonts w:hint="eastAsia" w:ascii="宋体" w:hAnsi="宋体" w:eastAsia="宋体" w:cs="宋体"/>
          <w:color w:val="000000"/>
          <w:sz w:val="21"/>
          <w:szCs w:val="21"/>
          <w:highlight w:val="none"/>
        </w:rPr>
        <w:t>承担</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rPr>
        <w:t>；</w:t>
      </w:r>
      <w:r>
        <w:rPr>
          <w:rFonts w:hint="eastAsia" w:ascii="宋体" w:hAnsi="宋体" w:eastAsia="宋体" w:cs="宋体"/>
          <w:color w:val="000000"/>
          <w:sz w:val="21"/>
          <w:szCs w:val="21"/>
          <w:highlight w:val="none"/>
          <w:lang w:val="en-US" w:eastAsia="zh-CN"/>
        </w:rPr>
        <w:t>甲方</w:t>
      </w:r>
      <w:r>
        <w:rPr>
          <w:rFonts w:hint="eastAsia" w:ascii="宋体" w:hAnsi="宋体" w:eastAsia="宋体" w:cs="宋体"/>
          <w:color w:val="000000"/>
          <w:sz w:val="21"/>
          <w:szCs w:val="21"/>
          <w:highlight w:val="none"/>
        </w:rPr>
        <w:t>不同意变更的，可以解除合同。</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rPr>
        <w:t>（2）合同解除的，</w:t>
      </w:r>
      <w:r>
        <w:rPr>
          <w:rFonts w:hint="eastAsia" w:ascii="宋体" w:hAnsi="宋体" w:eastAsia="宋体" w:cs="宋体"/>
          <w:color w:val="000000"/>
          <w:sz w:val="21"/>
          <w:szCs w:val="21"/>
          <w:highlight w:val="none"/>
          <w:lang w:val="en-US" w:eastAsia="zh-CN"/>
        </w:rPr>
        <w:t>双方就已履行的旅游批次项目据实结算费用。</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lang w:val="zh-CN"/>
        </w:rPr>
        <w:t>（3）</w:t>
      </w:r>
      <w:r>
        <w:rPr>
          <w:rFonts w:hint="eastAsia" w:ascii="宋体" w:hAnsi="宋体" w:eastAsia="宋体" w:cs="宋体"/>
          <w:color w:val="000000"/>
          <w:sz w:val="21"/>
          <w:szCs w:val="21"/>
          <w:highlight w:val="none"/>
        </w:rPr>
        <w:t>危及</w:t>
      </w:r>
      <w:r>
        <w:rPr>
          <w:rFonts w:hint="eastAsia" w:ascii="宋体" w:hAnsi="宋体" w:eastAsia="宋体" w:cs="宋体"/>
          <w:color w:val="000000"/>
          <w:sz w:val="21"/>
          <w:szCs w:val="21"/>
          <w:highlight w:val="none"/>
          <w:lang w:val="en-US" w:eastAsia="zh-CN"/>
        </w:rPr>
        <w:t>甲方参与疗休养人员的</w:t>
      </w:r>
      <w:r>
        <w:rPr>
          <w:rFonts w:hint="eastAsia" w:ascii="宋体" w:hAnsi="宋体" w:eastAsia="宋体" w:cs="宋体"/>
          <w:color w:val="000000"/>
          <w:sz w:val="21"/>
          <w:szCs w:val="21"/>
          <w:highlight w:val="none"/>
        </w:rPr>
        <w:t>人身、财产安全的，旅行社应当采取相应的安全措施，因此支出的费用，由旅行社</w:t>
      </w:r>
      <w:r>
        <w:rPr>
          <w:rFonts w:hint="eastAsia" w:ascii="宋体" w:hAnsi="宋体" w:eastAsia="宋体" w:cs="宋体"/>
          <w:color w:val="000000"/>
          <w:sz w:val="21"/>
          <w:szCs w:val="21"/>
          <w:highlight w:val="none"/>
          <w:lang w:val="en-US" w:eastAsia="zh-CN"/>
        </w:rPr>
        <w:t>承</w:t>
      </w:r>
      <w:r>
        <w:rPr>
          <w:rFonts w:hint="eastAsia" w:ascii="宋体" w:hAnsi="宋体" w:eastAsia="宋体" w:cs="宋体"/>
          <w:color w:val="000000"/>
          <w:sz w:val="21"/>
          <w:szCs w:val="21"/>
          <w:highlight w:val="none"/>
        </w:rPr>
        <w:t>担。</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kern w:val="0"/>
          <w:sz w:val="21"/>
          <w:szCs w:val="21"/>
          <w:highlight w:val="none"/>
          <w:lang w:val="zh-CN"/>
        </w:rPr>
      </w:pPr>
      <w:r>
        <w:rPr>
          <w:rFonts w:hint="eastAsia" w:ascii="宋体" w:hAnsi="宋体" w:eastAsia="宋体" w:cs="宋体"/>
          <w:color w:val="000000"/>
          <w:sz w:val="21"/>
          <w:szCs w:val="21"/>
          <w:highlight w:val="none"/>
        </w:rPr>
        <w:t>（4）造成</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疗休养人员</w:t>
      </w:r>
      <w:r>
        <w:rPr>
          <w:rFonts w:hint="eastAsia" w:ascii="宋体" w:hAnsi="宋体" w:eastAsia="宋体" w:cs="宋体"/>
          <w:color w:val="000000"/>
          <w:sz w:val="21"/>
          <w:szCs w:val="21"/>
          <w:highlight w:val="none"/>
        </w:rPr>
        <w:t>滞留的，旅行社应当采取相应的安置措施。因此增加的食宿费用，由</w:t>
      </w:r>
      <w:r>
        <w:rPr>
          <w:rFonts w:hint="eastAsia" w:ascii="宋体" w:hAnsi="宋体" w:eastAsia="宋体" w:cs="宋体"/>
          <w:color w:val="000000"/>
          <w:sz w:val="21"/>
          <w:szCs w:val="21"/>
          <w:highlight w:val="none"/>
          <w:lang w:val="en-US" w:eastAsia="zh-CN"/>
        </w:rPr>
        <w:t>乙方</w:t>
      </w:r>
      <w:r>
        <w:rPr>
          <w:rFonts w:hint="eastAsia" w:ascii="宋体" w:hAnsi="宋体" w:eastAsia="宋体" w:cs="宋体"/>
          <w:color w:val="000000"/>
          <w:sz w:val="21"/>
          <w:szCs w:val="21"/>
          <w:highlight w:val="none"/>
        </w:rPr>
        <w:t>承担；增加的</w:t>
      </w:r>
      <w:r>
        <w:rPr>
          <w:rFonts w:hint="eastAsia" w:ascii="宋体" w:hAnsi="宋体" w:eastAsia="宋体" w:cs="宋体"/>
          <w:color w:val="000000"/>
          <w:sz w:val="21"/>
          <w:szCs w:val="21"/>
          <w:highlight w:val="none"/>
        </w:rPr>
        <w:fldChar w:fldCharType="begin"/>
      </w:r>
      <w:r>
        <w:rPr>
          <w:rFonts w:hint="eastAsia" w:ascii="宋体" w:hAnsi="宋体" w:eastAsia="宋体" w:cs="宋体"/>
          <w:color w:val="000000"/>
          <w:sz w:val="21"/>
          <w:szCs w:val="21"/>
          <w:highlight w:val="none"/>
        </w:rPr>
        <w:instrText xml:space="preserve"> HYPERLINK "http://guoqing.china.com.cn/2012-01/29/content_24493636.htm" \t "_blank" </w:instrText>
      </w:r>
      <w:r>
        <w:rPr>
          <w:rFonts w:hint="eastAsia" w:ascii="宋体" w:hAnsi="宋体" w:eastAsia="宋体" w:cs="宋体"/>
          <w:color w:val="000000"/>
          <w:sz w:val="21"/>
          <w:szCs w:val="21"/>
          <w:highlight w:val="none"/>
        </w:rPr>
        <w:fldChar w:fldCharType="separate"/>
      </w:r>
      <w:r>
        <w:rPr>
          <w:rFonts w:hint="eastAsia" w:ascii="宋体" w:hAnsi="宋体" w:eastAsia="宋体" w:cs="宋体"/>
          <w:b/>
          <w:snapToGrid w:val="0"/>
          <w:color w:val="000000"/>
          <w:kern w:val="0"/>
          <w:sz w:val="21"/>
          <w:szCs w:val="21"/>
          <w:highlight w:val="none"/>
          <w:u w:val="none"/>
        </w:rPr>
        <w:t>返程</w:t>
      </w:r>
      <w:r>
        <w:rPr>
          <w:rFonts w:hint="eastAsia" w:ascii="宋体" w:hAnsi="宋体" w:eastAsia="宋体" w:cs="宋体"/>
          <w:color w:val="000000"/>
          <w:sz w:val="21"/>
          <w:szCs w:val="21"/>
          <w:highlight w:val="none"/>
        </w:rPr>
        <w:fldChar w:fldCharType="end"/>
      </w:r>
      <w:r>
        <w:rPr>
          <w:rFonts w:hint="eastAsia" w:ascii="宋体" w:hAnsi="宋体" w:eastAsia="宋体" w:cs="宋体"/>
          <w:color w:val="000000"/>
          <w:sz w:val="21"/>
          <w:szCs w:val="21"/>
          <w:highlight w:val="none"/>
        </w:rPr>
        <w:t>费用，由旅行社</w:t>
      </w:r>
      <w:r>
        <w:rPr>
          <w:rFonts w:hint="eastAsia" w:ascii="宋体" w:hAnsi="宋体" w:eastAsia="宋体" w:cs="宋体"/>
          <w:color w:val="000000"/>
          <w:sz w:val="21"/>
          <w:szCs w:val="21"/>
          <w:highlight w:val="none"/>
          <w:lang w:val="en-US" w:eastAsia="zh-CN"/>
        </w:rPr>
        <w:t>承</w:t>
      </w:r>
      <w:r>
        <w:rPr>
          <w:rFonts w:hint="eastAsia" w:ascii="宋体" w:hAnsi="宋体" w:eastAsia="宋体" w:cs="宋体"/>
          <w:color w:val="000000"/>
          <w:sz w:val="21"/>
          <w:szCs w:val="21"/>
          <w:highlight w:val="none"/>
        </w:rPr>
        <w:t>担。</w:t>
      </w:r>
    </w:p>
    <w:p>
      <w:pPr>
        <w:tabs>
          <w:tab w:val="left" w:pos="5565"/>
        </w:tabs>
        <w:adjustRightInd w:val="0"/>
        <w:spacing w:line="360" w:lineRule="auto"/>
        <w:ind w:firstLine="422" w:firstLineChars="200"/>
        <w:jc w:val="both"/>
        <w:textAlignment w:val="auto"/>
        <w:outlineLvl w:val="9"/>
        <w:rPr>
          <w:rFonts w:hint="eastAsia" w:ascii="宋体" w:hAnsi="宋体" w:eastAsia="宋体" w:cs="宋体"/>
          <w:bCs/>
          <w:color w:val="000000"/>
          <w:sz w:val="21"/>
          <w:szCs w:val="21"/>
          <w:highlight w:val="none"/>
        </w:rPr>
      </w:pPr>
      <w:r>
        <w:rPr>
          <w:rFonts w:hint="eastAsia" w:ascii="宋体" w:hAnsi="宋体" w:eastAsia="宋体" w:cs="宋体"/>
          <w:b/>
          <w:color w:val="000000"/>
          <w:sz w:val="21"/>
          <w:szCs w:val="21"/>
          <w:highlight w:val="none"/>
        </w:rPr>
        <w:t>第</w:t>
      </w:r>
      <w:r>
        <w:rPr>
          <w:rFonts w:hint="eastAsia" w:ascii="宋体" w:hAnsi="宋体" w:eastAsia="宋体" w:cs="宋体"/>
          <w:b/>
          <w:color w:val="000000"/>
          <w:sz w:val="21"/>
          <w:szCs w:val="21"/>
          <w:highlight w:val="none"/>
          <w:lang w:val="en-US" w:eastAsia="zh-CN"/>
        </w:rPr>
        <w:t>九</w:t>
      </w:r>
      <w:r>
        <w:rPr>
          <w:rFonts w:hint="eastAsia" w:ascii="宋体" w:hAnsi="宋体" w:eastAsia="宋体" w:cs="宋体"/>
          <w:b/>
          <w:color w:val="000000"/>
          <w:sz w:val="21"/>
          <w:szCs w:val="21"/>
          <w:highlight w:val="none"/>
        </w:rPr>
        <w:t>条  合同的转让</w:t>
      </w:r>
    </w:p>
    <w:p>
      <w:pPr>
        <w:adjustRightInd w:val="0"/>
        <w:spacing w:line="360" w:lineRule="auto"/>
        <w:ind w:firstLine="420"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color w:val="000000"/>
          <w:sz w:val="21"/>
          <w:szCs w:val="21"/>
          <w:highlight w:val="none"/>
        </w:rPr>
        <w:t>旅游行程开始前，</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可以将合同中自身的权利义务转让给第三人，旅行社没有正当理由的不得拒绝。</w:t>
      </w:r>
    </w:p>
    <w:p>
      <w:pPr>
        <w:tabs>
          <w:tab w:val="left" w:pos="5565"/>
        </w:tabs>
        <w:adjustRightInd w:val="0"/>
        <w:spacing w:line="360" w:lineRule="auto"/>
        <w:ind w:firstLine="422"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b/>
          <w:color w:val="000000"/>
          <w:sz w:val="21"/>
          <w:szCs w:val="21"/>
          <w:highlight w:val="none"/>
        </w:rPr>
        <w:t>第十条  合同的解除</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有下列情形之一的，旅行社可以解除合同：</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（1）患有</w:t>
      </w:r>
      <w:r>
        <w:rPr>
          <w:rFonts w:hint="eastAsia" w:ascii="宋体" w:hAnsi="宋体" w:eastAsia="宋体" w:cs="宋体"/>
          <w:color w:val="000000"/>
          <w:sz w:val="21"/>
          <w:szCs w:val="21"/>
          <w:highlight w:val="none"/>
          <w:lang w:val="en-US" w:eastAsia="zh-CN"/>
        </w:rPr>
        <w:t>严重</w:t>
      </w:r>
      <w:r>
        <w:rPr>
          <w:rFonts w:hint="eastAsia" w:ascii="宋体" w:hAnsi="宋体" w:eastAsia="宋体" w:cs="宋体"/>
          <w:color w:val="000000"/>
          <w:sz w:val="21"/>
          <w:szCs w:val="21"/>
          <w:highlight w:val="none"/>
        </w:rPr>
        <w:t>传染病等疾病，可能危害其他旅游者健康和安全的；</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（2）携带危害公共安全的物品且不同意交有关部门处理的；</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（3）从事违法或者违反社会公德的活动的，；</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（4）从事严重影响其他旅游者权益的活动，且不听劝阻、不能制止的；</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（5）法律规定的其他情形。</w:t>
      </w:r>
    </w:p>
    <w:p>
      <w:pPr>
        <w:adjustRightInd w:val="0"/>
        <w:spacing w:line="360" w:lineRule="auto"/>
        <w:ind w:firstLine="420" w:firstLineChars="200"/>
        <w:outlineLvl w:val="9"/>
        <w:rPr>
          <w:rFonts w:hint="eastAsia" w:ascii="宋体" w:hAnsi="宋体" w:eastAsia="宋体" w:cs="宋体"/>
          <w:szCs w:val="21"/>
          <w:lang w:val="en-US" w:eastAsia="zh-CN"/>
        </w:rPr>
      </w:pPr>
      <w:r>
        <w:rPr>
          <w:rFonts w:hint="eastAsia" w:ascii="宋体" w:hAnsi="宋体" w:eastAsia="宋体" w:cs="宋体"/>
          <w:color w:val="000000"/>
          <w:sz w:val="21"/>
          <w:szCs w:val="21"/>
          <w:highlight w:val="none"/>
          <w:lang w:val="en-US" w:eastAsia="zh-CN"/>
        </w:rPr>
        <w:t xml:space="preserve"> 2、若乙方违反合同约定的，甲方有权随时解除合同。已部分履行的，经甲方确认费用后30个工作日内向乙方支付。若甲方参与疗休养人员提供的本年度职工疗休养满意度测评结果综合评定为不合格的，下一年度疗休养服务合同自动终止。</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3</w:t>
      </w:r>
      <w:r>
        <w:rPr>
          <w:rFonts w:hint="eastAsia" w:ascii="宋体" w:hAnsi="宋体" w:eastAsia="宋体" w:cs="宋体"/>
          <w:color w:val="000000"/>
          <w:sz w:val="21"/>
          <w:szCs w:val="21"/>
          <w:highlight w:val="none"/>
        </w:rPr>
        <w:t>、旅游行程中解除合同的，旅行社应当协助</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疗休养人员</w:t>
      </w:r>
      <w:r>
        <w:rPr>
          <w:rFonts w:hint="eastAsia" w:ascii="宋体" w:hAnsi="宋体" w:eastAsia="宋体" w:cs="宋体"/>
          <w:color w:val="000000"/>
          <w:sz w:val="21"/>
          <w:szCs w:val="21"/>
          <w:highlight w:val="none"/>
        </w:rPr>
        <w:t>返回出发地或者</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指定的合理地点。由于旅行社或者</w:t>
      </w:r>
      <w:r>
        <w:rPr>
          <w:rFonts w:hint="eastAsia" w:ascii="宋体" w:hAnsi="宋体" w:eastAsia="宋体" w:cs="宋体"/>
          <w:color w:val="000000"/>
          <w:sz w:val="21"/>
          <w:szCs w:val="21"/>
          <w:highlight w:val="none"/>
          <w:lang w:val="en-US" w:eastAsia="zh-CN"/>
        </w:rPr>
        <w:t>旅行社委托的</w:t>
      </w:r>
      <w:r>
        <w:rPr>
          <w:rFonts w:hint="eastAsia" w:ascii="宋体" w:hAnsi="宋体" w:eastAsia="宋体" w:cs="宋体"/>
          <w:color w:val="000000"/>
          <w:sz w:val="21"/>
          <w:szCs w:val="21"/>
          <w:highlight w:val="none"/>
        </w:rPr>
        <w:t>履行辅助人的原因导致合同解除的，返程费用由旅行社承担。</w:t>
      </w:r>
      <w:r>
        <w:rPr>
          <w:rFonts w:hint="eastAsia" w:ascii="宋体" w:hAnsi="宋体" w:eastAsia="宋体" w:cs="宋体"/>
          <w:color w:val="000000"/>
          <w:sz w:val="21"/>
          <w:szCs w:val="21"/>
          <w:highlight w:val="none"/>
          <w:lang w:val="en-US" w:eastAsia="zh-CN"/>
        </w:rPr>
        <w:t xml:space="preserve">                      </w:t>
      </w:r>
    </w:p>
    <w:p>
      <w:pPr>
        <w:adjustRightInd w:val="0"/>
        <w:spacing w:line="360" w:lineRule="auto"/>
        <w:ind w:firstLine="422"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第十</w:t>
      </w:r>
      <w:r>
        <w:rPr>
          <w:rFonts w:hint="eastAsia" w:ascii="宋体" w:hAnsi="宋体" w:eastAsia="宋体" w:cs="宋体"/>
          <w:b/>
          <w:color w:val="000000"/>
          <w:sz w:val="21"/>
          <w:szCs w:val="21"/>
          <w:highlight w:val="none"/>
          <w:lang w:val="en-US" w:eastAsia="zh-CN"/>
        </w:rPr>
        <w:t>一</w:t>
      </w:r>
      <w:r>
        <w:rPr>
          <w:rFonts w:hint="eastAsia" w:ascii="宋体" w:hAnsi="宋体" w:eastAsia="宋体" w:cs="宋体"/>
          <w:b/>
          <w:color w:val="000000"/>
          <w:sz w:val="21"/>
          <w:szCs w:val="21"/>
          <w:highlight w:val="none"/>
        </w:rPr>
        <w:t>条  旅行社的违约责任</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1、旅行社在出发</w:t>
      </w:r>
      <w:r>
        <w:rPr>
          <w:rFonts w:hint="eastAsia" w:ascii="宋体" w:hAnsi="宋体" w:eastAsia="宋体" w:cs="宋体"/>
          <w:color w:val="000000"/>
          <w:sz w:val="21"/>
          <w:szCs w:val="21"/>
          <w:highlight w:val="none"/>
          <w:lang w:val="en-US" w:eastAsia="zh-CN"/>
        </w:rPr>
        <w:t>前</w:t>
      </w:r>
      <w:r>
        <w:rPr>
          <w:rFonts w:hint="eastAsia" w:ascii="宋体" w:hAnsi="宋体" w:eastAsia="宋体" w:cs="宋体"/>
          <w:color w:val="000000"/>
          <w:sz w:val="21"/>
          <w:szCs w:val="21"/>
          <w:highlight w:val="none"/>
        </w:rPr>
        <w:t>提出解除合同的，向</w:t>
      </w:r>
      <w:r>
        <w:rPr>
          <w:rFonts w:hint="eastAsia" w:ascii="宋体" w:hAnsi="宋体" w:eastAsia="宋体" w:cs="宋体"/>
          <w:color w:val="000000"/>
          <w:sz w:val="21"/>
          <w:szCs w:val="21"/>
          <w:highlight w:val="none"/>
          <w:lang w:eastAsia="zh-CN"/>
        </w:rPr>
        <w:t>甲方支付</w:t>
      </w:r>
      <w:r>
        <w:rPr>
          <w:rFonts w:hint="eastAsia" w:ascii="宋体" w:hAnsi="宋体" w:eastAsia="宋体" w:cs="宋体"/>
          <w:color w:val="000000"/>
          <w:sz w:val="21"/>
          <w:szCs w:val="21"/>
          <w:highlight w:val="none"/>
        </w:rPr>
        <w:t>旅游费用</w:t>
      </w:r>
      <w:r>
        <w:rPr>
          <w:rFonts w:hint="eastAsia" w:ascii="宋体" w:hAnsi="宋体" w:eastAsia="宋体" w:cs="宋体"/>
          <w:color w:val="000000"/>
          <w:sz w:val="21"/>
          <w:szCs w:val="21"/>
          <w:highlight w:val="none"/>
          <w:lang w:eastAsia="zh-CN"/>
        </w:rPr>
        <w:t>总额</w:t>
      </w:r>
      <w:r>
        <w:rPr>
          <w:rFonts w:hint="eastAsia" w:ascii="宋体" w:hAnsi="宋体" w:eastAsia="宋体" w:cs="宋体"/>
          <w:color w:val="000000"/>
          <w:sz w:val="21"/>
          <w:szCs w:val="21"/>
          <w:highlight w:val="none"/>
          <w:lang w:val="en-US" w:eastAsia="zh-CN"/>
        </w:rPr>
        <w:t>10%</w:t>
      </w:r>
      <w:r>
        <w:rPr>
          <w:rFonts w:hint="eastAsia" w:ascii="宋体" w:hAnsi="宋体" w:eastAsia="宋体" w:cs="宋体"/>
          <w:color w:val="000000"/>
          <w:sz w:val="21"/>
          <w:szCs w:val="21"/>
          <w:highlight w:val="none"/>
          <w:lang w:eastAsia="zh-CN"/>
        </w:rPr>
        <w:t>的违约金。</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2、旅行社安排的旅游活动及服务档次与合同约定不符，造成</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疗休养人员</w:t>
      </w:r>
      <w:r>
        <w:rPr>
          <w:rFonts w:hint="eastAsia" w:ascii="宋体" w:hAnsi="宋体" w:eastAsia="宋体" w:cs="宋体"/>
          <w:color w:val="000000"/>
          <w:sz w:val="21"/>
          <w:szCs w:val="21"/>
          <w:highlight w:val="none"/>
        </w:rPr>
        <w:t>经济损失的，旅行社应退还</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合同金额与实际花费的差额，并支付同额违约金。</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3、擅自缩短游览时间、遗漏旅游景点、减少旅游服务项目的，旅行社应赔偿未完成约定旅游服务项目等合理费用，并支付同额违约金。遗漏无门票景点的，每遗漏一处旅行社向</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支付旅游费用总额5%的违约金。</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4、旅行社不履行包价旅游合同义务或者履行合同义务不符合约定的，应当依法承担继续履行、采取补救措施或者赔偿损失等违约责任；造成</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疗休养人员</w:t>
      </w:r>
      <w:r>
        <w:rPr>
          <w:rFonts w:hint="eastAsia" w:ascii="宋体" w:hAnsi="宋体" w:eastAsia="宋体" w:cs="宋体"/>
          <w:color w:val="000000"/>
          <w:sz w:val="21"/>
          <w:szCs w:val="21"/>
          <w:highlight w:val="none"/>
        </w:rPr>
        <w:t>人身损害、财产损失的，应当依法承担赔偿责任。旅行社具备履行条件，经</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要求仍拒绝履行合同，造成</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疗休养人员</w:t>
      </w:r>
      <w:r>
        <w:rPr>
          <w:rFonts w:hint="eastAsia" w:ascii="宋体" w:hAnsi="宋体" w:eastAsia="宋体" w:cs="宋体"/>
          <w:color w:val="000000"/>
          <w:sz w:val="21"/>
          <w:szCs w:val="21"/>
          <w:highlight w:val="none"/>
        </w:rPr>
        <w:t>人身损害、滞留等严重后果的，</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有权</w:t>
      </w:r>
      <w:r>
        <w:rPr>
          <w:rFonts w:hint="eastAsia" w:ascii="宋体" w:hAnsi="宋体" w:eastAsia="宋体" w:cs="宋体"/>
          <w:color w:val="000000"/>
          <w:sz w:val="21"/>
          <w:szCs w:val="21"/>
          <w:highlight w:val="none"/>
        </w:rPr>
        <w:t>要求旅行社支付旅游费用</w:t>
      </w:r>
      <w:r>
        <w:rPr>
          <w:rFonts w:hint="eastAsia" w:ascii="宋体" w:hAnsi="宋体" w:eastAsia="宋体" w:cs="宋体"/>
          <w:color w:val="000000"/>
          <w:sz w:val="21"/>
          <w:szCs w:val="21"/>
          <w:highlight w:val="none"/>
          <w:lang w:val="en-US" w:eastAsia="zh-CN"/>
        </w:rPr>
        <w:t>总额</w:t>
      </w:r>
      <w:r>
        <w:rPr>
          <w:rFonts w:hint="eastAsia" w:ascii="宋体" w:hAnsi="宋体" w:eastAsia="宋体" w:cs="宋体"/>
          <w:color w:val="000000"/>
          <w:sz w:val="21"/>
          <w:szCs w:val="21"/>
          <w:highlight w:val="none"/>
        </w:rPr>
        <w:t>1倍以上3倍以下的赔偿金。</w:t>
      </w:r>
    </w:p>
    <w:p>
      <w:pPr>
        <w:tabs>
          <w:tab w:val="left" w:pos="5565"/>
        </w:tabs>
        <w:adjustRightInd w:val="0"/>
        <w:snapToGrid w:val="0"/>
        <w:spacing w:line="360" w:lineRule="auto"/>
        <w:ind w:firstLine="420"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color w:val="000000"/>
          <w:sz w:val="21"/>
          <w:szCs w:val="21"/>
          <w:highlight w:val="none"/>
        </w:rPr>
        <w:t>5、旅行社不履行合同或者履行合同不符合约定的服务质量标准，</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和旅行社对赔偿标准未作出合同约定的，按照《中华人民共和国旅游法》有关规定，亦可参照适用国家旅游局颁布的《旅行社服务质量赔偿标准》（旅办发〔2011〕44号）。</w:t>
      </w:r>
    </w:p>
    <w:p>
      <w:pPr>
        <w:tabs>
          <w:tab w:val="left" w:pos="5565"/>
        </w:tabs>
        <w:adjustRightInd w:val="0"/>
        <w:snapToGri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6、与</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lang w:val="en-US" w:eastAsia="zh-CN"/>
        </w:rPr>
        <w:t>疗休养人员</w:t>
      </w:r>
      <w:r>
        <w:rPr>
          <w:rFonts w:hint="eastAsia" w:ascii="宋体" w:hAnsi="宋体" w:eastAsia="宋体" w:cs="宋体"/>
          <w:color w:val="000000"/>
          <w:sz w:val="21"/>
          <w:szCs w:val="21"/>
          <w:highlight w:val="none"/>
        </w:rPr>
        <w:t>发生纠纷时，旅行社应当积极采取措施防止损失扩大，否则应当就扩大的损失承担责任。</w:t>
      </w:r>
    </w:p>
    <w:p>
      <w:pPr>
        <w:tabs>
          <w:tab w:val="left" w:pos="5565"/>
        </w:tabs>
        <w:adjustRightInd w:val="0"/>
        <w:spacing w:line="360" w:lineRule="auto"/>
        <w:ind w:firstLine="422"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eastAsia="宋体" w:cs="宋体"/>
          <w:b/>
          <w:bCs/>
          <w:color w:val="000000"/>
          <w:sz w:val="21"/>
          <w:szCs w:val="21"/>
          <w:highlight w:val="none"/>
          <w:lang w:val="en-US" w:eastAsia="zh-CN"/>
        </w:rPr>
        <w:t>二</w:t>
      </w:r>
      <w:r>
        <w:rPr>
          <w:rFonts w:hint="eastAsia" w:ascii="宋体" w:hAnsi="宋体" w:eastAsia="宋体" w:cs="宋体"/>
          <w:b/>
          <w:bCs/>
          <w:color w:val="000000"/>
          <w:sz w:val="21"/>
          <w:szCs w:val="21"/>
          <w:highlight w:val="none"/>
        </w:rPr>
        <w:t>条  特别提醒</w:t>
      </w:r>
    </w:p>
    <w:p>
      <w:pPr>
        <w:tabs>
          <w:tab w:val="left" w:pos="5565"/>
        </w:tabs>
        <w:adjustRightInd w:val="0"/>
        <w:spacing w:line="360" w:lineRule="auto"/>
        <w:ind w:firstLine="420" w:firstLineChars="200"/>
        <w:jc w:val="both"/>
        <w:textAlignment w:val="auto"/>
        <w:outlineLvl w:val="9"/>
        <w:rPr>
          <w:rFonts w:hint="eastAsia" w:ascii="宋体" w:hAnsi="宋体" w:eastAsia="宋体" w:cs="宋体"/>
          <w:bCs/>
          <w:color w:val="000000"/>
          <w:sz w:val="21"/>
          <w:szCs w:val="21"/>
          <w:highlight w:val="none"/>
        </w:rPr>
      </w:pPr>
      <w:r>
        <w:rPr>
          <w:rFonts w:hint="eastAsia" w:ascii="宋体" w:hAnsi="宋体" w:eastAsia="宋体" w:cs="宋体"/>
          <w:bCs/>
          <w:color w:val="000000"/>
          <w:sz w:val="21"/>
          <w:szCs w:val="21"/>
          <w:highlight w:val="none"/>
        </w:rPr>
        <w:t>1、为了确保旅游团顺利出行，防止旅途中发生人身意外伤害事故，如存在下列健康问题的病患者请勿报名：</w:t>
      </w:r>
    </w:p>
    <w:p>
      <w:pPr>
        <w:tabs>
          <w:tab w:val="left" w:pos="5565"/>
        </w:tabs>
        <w:adjustRightInd w:val="0"/>
        <w:spacing w:line="360" w:lineRule="auto"/>
        <w:ind w:firstLine="420" w:firstLineChars="200"/>
        <w:jc w:val="both"/>
        <w:textAlignment w:val="auto"/>
        <w:outlineLvl w:val="9"/>
        <w:rPr>
          <w:rFonts w:hint="eastAsia" w:ascii="宋体" w:hAnsi="宋体" w:eastAsia="宋体" w:cs="宋体"/>
          <w:bCs/>
          <w:color w:val="000000"/>
          <w:sz w:val="21"/>
          <w:szCs w:val="21"/>
          <w:highlight w:val="none"/>
        </w:rPr>
      </w:pPr>
      <w:r>
        <w:rPr>
          <w:rFonts w:hint="eastAsia" w:ascii="宋体" w:hAnsi="宋体" w:eastAsia="宋体" w:cs="宋体"/>
          <w:bCs/>
          <w:color w:val="000000"/>
          <w:sz w:val="21"/>
          <w:szCs w:val="21"/>
          <w:highlight w:val="none"/>
        </w:rPr>
        <w:t>（1）</w:t>
      </w:r>
      <w:r>
        <w:rPr>
          <w:rFonts w:hint="eastAsia" w:ascii="宋体" w:hAnsi="宋体" w:eastAsia="宋体" w:cs="宋体"/>
          <w:color w:val="000000"/>
          <w:sz w:val="21"/>
          <w:szCs w:val="21"/>
          <w:highlight w:val="none"/>
        </w:rPr>
        <w:t>传染性疾病患者，如传染性肝炎、活动期肺结核、伤寒等传染病人；</w:t>
      </w:r>
    </w:p>
    <w:p>
      <w:pPr>
        <w:tabs>
          <w:tab w:val="left" w:pos="5565"/>
        </w:tabs>
        <w:adjustRightInd w:val="0"/>
        <w:spacing w:line="360" w:lineRule="auto"/>
        <w:ind w:firstLine="420" w:firstLineChars="200"/>
        <w:jc w:val="both"/>
        <w:textAlignment w:val="auto"/>
        <w:outlineLvl w:val="9"/>
        <w:rPr>
          <w:rFonts w:hint="eastAsia" w:ascii="宋体" w:hAnsi="宋体" w:eastAsia="宋体" w:cs="宋体"/>
          <w:bCs/>
          <w:color w:val="000000"/>
          <w:sz w:val="21"/>
          <w:szCs w:val="21"/>
          <w:highlight w:val="none"/>
        </w:rPr>
      </w:pPr>
      <w:r>
        <w:rPr>
          <w:rFonts w:hint="eastAsia" w:ascii="宋体" w:hAnsi="宋体" w:eastAsia="宋体" w:cs="宋体"/>
          <w:bCs/>
          <w:color w:val="000000"/>
          <w:sz w:val="21"/>
          <w:szCs w:val="21"/>
          <w:highlight w:val="none"/>
        </w:rPr>
        <w:t>（2）</w:t>
      </w:r>
      <w:r>
        <w:rPr>
          <w:rFonts w:hint="eastAsia" w:ascii="宋体" w:hAnsi="宋体" w:eastAsia="宋体" w:cs="宋体"/>
          <w:color w:val="000000"/>
          <w:sz w:val="21"/>
          <w:szCs w:val="21"/>
          <w:highlight w:val="none"/>
        </w:rPr>
        <w:t>心血管疾病患者，如严重高血压、心功能不全、心肌缺氧、心肌梗塞等病人；</w:t>
      </w:r>
    </w:p>
    <w:p>
      <w:pPr>
        <w:tabs>
          <w:tab w:val="left" w:pos="5565"/>
        </w:tabs>
        <w:adjustRightInd w:val="0"/>
        <w:spacing w:line="360" w:lineRule="auto"/>
        <w:ind w:firstLine="420" w:firstLineChars="200"/>
        <w:jc w:val="both"/>
        <w:textAlignment w:val="auto"/>
        <w:outlineLvl w:val="9"/>
        <w:rPr>
          <w:rFonts w:hint="eastAsia" w:ascii="宋体" w:hAnsi="宋体" w:eastAsia="宋体" w:cs="宋体"/>
          <w:bCs/>
          <w:color w:val="000000"/>
          <w:sz w:val="21"/>
          <w:szCs w:val="21"/>
          <w:highlight w:val="none"/>
        </w:rPr>
      </w:pPr>
      <w:r>
        <w:rPr>
          <w:rFonts w:hint="eastAsia" w:ascii="宋体" w:hAnsi="宋体" w:eastAsia="宋体" w:cs="宋体"/>
          <w:color w:val="000000"/>
          <w:sz w:val="21"/>
          <w:szCs w:val="21"/>
          <w:highlight w:val="none"/>
        </w:rPr>
        <w:t>（3）脑血管疾病患者，如脑栓塞、脑出血、脑肿瘤等病人；</w:t>
      </w:r>
    </w:p>
    <w:p>
      <w:pPr>
        <w:tabs>
          <w:tab w:val="left" w:pos="5565"/>
        </w:tabs>
        <w:adjustRightInd w:val="0"/>
        <w:spacing w:line="360" w:lineRule="auto"/>
        <w:ind w:firstLine="420" w:firstLineChars="200"/>
        <w:jc w:val="both"/>
        <w:textAlignment w:val="auto"/>
        <w:outlineLvl w:val="9"/>
        <w:rPr>
          <w:rFonts w:hint="eastAsia" w:ascii="宋体" w:hAnsi="宋体" w:eastAsia="宋体" w:cs="宋体"/>
          <w:bCs/>
          <w:color w:val="000000"/>
          <w:sz w:val="21"/>
          <w:szCs w:val="21"/>
          <w:highlight w:val="none"/>
        </w:rPr>
      </w:pPr>
      <w:r>
        <w:rPr>
          <w:rFonts w:hint="eastAsia" w:ascii="宋体" w:hAnsi="宋体" w:eastAsia="宋体" w:cs="宋体"/>
          <w:bCs/>
          <w:color w:val="000000"/>
          <w:sz w:val="21"/>
          <w:szCs w:val="21"/>
          <w:highlight w:val="none"/>
        </w:rPr>
        <w:t>（4）</w:t>
      </w:r>
      <w:r>
        <w:rPr>
          <w:rFonts w:hint="eastAsia" w:ascii="宋体" w:hAnsi="宋体" w:eastAsia="宋体" w:cs="宋体"/>
          <w:color w:val="000000"/>
          <w:sz w:val="21"/>
          <w:szCs w:val="21"/>
          <w:highlight w:val="none"/>
        </w:rPr>
        <w:t>呼吸系统疾病患者，如肺气肿、肺心病等病人；</w:t>
      </w:r>
    </w:p>
    <w:p>
      <w:pPr>
        <w:tabs>
          <w:tab w:val="left" w:pos="5565"/>
        </w:tabs>
        <w:adjustRightInd w:val="0"/>
        <w:spacing w:line="360" w:lineRule="auto"/>
        <w:ind w:firstLine="420" w:firstLineChars="200"/>
        <w:jc w:val="both"/>
        <w:textAlignment w:val="auto"/>
        <w:outlineLvl w:val="9"/>
        <w:rPr>
          <w:rFonts w:hint="eastAsia" w:ascii="宋体" w:hAnsi="宋体" w:eastAsia="宋体" w:cs="宋体"/>
          <w:bCs/>
          <w:color w:val="000000"/>
          <w:sz w:val="21"/>
          <w:szCs w:val="21"/>
          <w:highlight w:val="none"/>
        </w:rPr>
      </w:pPr>
      <w:r>
        <w:rPr>
          <w:rFonts w:hint="eastAsia" w:ascii="宋体" w:hAnsi="宋体" w:eastAsia="宋体" w:cs="宋体"/>
          <w:bCs/>
          <w:color w:val="000000"/>
          <w:sz w:val="21"/>
          <w:szCs w:val="21"/>
          <w:highlight w:val="none"/>
        </w:rPr>
        <w:t>（5）</w:t>
      </w:r>
      <w:r>
        <w:rPr>
          <w:rFonts w:hint="eastAsia" w:ascii="宋体" w:hAnsi="宋体" w:eastAsia="宋体" w:cs="宋体"/>
          <w:color w:val="000000"/>
          <w:sz w:val="21"/>
          <w:szCs w:val="21"/>
          <w:highlight w:val="none"/>
        </w:rPr>
        <w:t>精神病患者，如癫痫及各种精神病人；</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bCs/>
          <w:color w:val="000000"/>
          <w:sz w:val="21"/>
          <w:szCs w:val="21"/>
          <w:highlight w:val="none"/>
        </w:rPr>
        <w:t>（6）</w:t>
      </w:r>
      <w:r>
        <w:rPr>
          <w:rFonts w:hint="eastAsia" w:ascii="宋体" w:hAnsi="宋体" w:eastAsia="宋体" w:cs="宋体"/>
          <w:color w:val="000000"/>
          <w:sz w:val="21"/>
          <w:szCs w:val="21"/>
          <w:highlight w:val="none"/>
        </w:rPr>
        <w:t>严重贫血病患者，如血红蛋白量水平在 50 克 / 升以下的病人；</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（7）大中型手术的恢复期病患者；</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（8）孕妇及行动不便者。</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2、传染病、精神病等患者参团，如危及其他旅游者健康和安全的，其本人或者法定监护人应承担赔偿责任。</w:t>
      </w:r>
    </w:p>
    <w:p>
      <w:pPr>
        <w:tabs>
          <w:tab w:val="left" w:pos="5565"/>
        </w:tabs>
        <w:adjustRightInd w:val="0"/>
        <w:spacing w:line="360" w:lineRule="auto"/>
        <w:ind w:firstLine="422" w:firstLineChars="200"/>
        <w:jc w:val="both"/>
        <w:textAlignment w:val="auto"/>
        <w:outlineLvl w:val="9"/>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eastAsia="宋体" w:cs="宋体"/>
          <w:b/>
          <w:bCs/>
          <w:color w:val="000000"/>
          <w:sz w:val="21"/>
          <w:szCs w:val="21"/>
          <w:highlight w:val="none"/>
          <w:lang w:val="en-US" w:eastAsia="zh-CN"/>
        </w:rPr>
        <w:t>三</w:t>
      </w:r>
      <w:r>
        <w:rPr>
          <w:rFonts w:hint="eastAsia" w:ascii="宋体" w:hAnsi="宋体" w:eastAsia="宋体" w:cs="宋体"/>
          <w:b/>
          <w:bCs/>
          <w:color w:val="000000"/>
          <w:sz w:val="21"/>
          <w:szCs w:val="21"/>
          <w:highlight w:val="none"/>
        </w:rPr>
        <w:t>条  老年人、未成年人参团旅游</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bCs/>
          <w:color w:val="000000"/>
          <w:sz w:val="21"/>
          <w:szCs w:val="21"/>
          <w:highlight w:val="none"/>
        </w:rPr>
        <w:t>1、老年人报名参团旅游的，应如实填写年龄、身体健康状况及其家属的联系方式，须书面告知旅行社不宜参加的</w:t>
      </w:r>
      <w:r>
        <w:rPr>
          <w:rFonts w:hint="eastAsia" w:ascii="宋体" w:hAnsi="宋体" w:eastAsia="宋体" w:cs="宋体"/>
          <w:color w:val="000000"/>
          <w:sz w:val="21"/>
          <w:szCs w:val="21"/>
          <w:highlight w:val="none"/>
        </w:rPr>
        <w:t>游程及项目</w:t>
      </w:r>
      <w:r>
        <w:rPr>
          <w:rFonts w:hint="eastAsia" w:ascii="宋体" w:hAnsi="宋体" w:eastAsia="宋体" w:cs="宋体"/>
          <w:bCs/>
          <w:color w:val="000000"/>
          <w:sz w:val="21"/>
          <w:szCs w:val="21"/>
          <w:highlight w:val="none"/>
        </w:rPr>
        <w:t>（包括交通工具、饮食、特殊地域环境限制等）</w:t>
      </w:r>
      <w:r>
        <w:rPr>
          <w:rFonts w:hint="eastAsia" w:ascii="宋体" w:hAnsi="宋体" w:eastAsia="宋体" w:cs="宋体"/>
          <w:color w:val="000000"/>
          <w:sz w:val="21"/>
          <w:szCs w:val="21"/>
          <w:highlight w:val="none"/>
        </w:rPr>
        <w:t>。</w:t>
      </w:r>
    </w:p>
    <w:p>
      <w:pPr>
        <w:tabs>
          <w:tab w:val="left" w:pos="5565"/>
        </w:tabs>
        <w:adjustRightInd w:val="0"/>
        <w:spacing w:line="360" w:lineRule="auto"/>
        <w:ind w:firstLine="420" w:firstLineChars="200"/>
        <w:jc w:val="both"/>
        <w:textAlignment w:val="auto"/>
        <w:outlineLvl w:val="9"/>
        <w:rPr>
          <w:rFonts w:hint="eastAsia" w:ascii="宋体" w:hAnsi="宋体" w:eastAsia="宋体" w:cs="宋体"/>
          <w:bCs/>
          <w:color w:val="000000"/>
          <w:sz w:val="21"/>
          <w:szCs w:val="21"/>
          <w:highlight w:val="none"/>
        </w:rPr>
      </w:pPr>
      <w:r>
        <w:rPr>
          <w:rFonts w:hint="eastAsia" w:ascii="宋体" w:hAnsi="宋体" w:eastAsia="宋体" w:cs="宋体"/>
          <w:color w:val="000000"/>
          <w:sz w:val="21"/>
          <w:szCs w:val="21"/>
          <w:highlight w:val="none"/>
        </w:rPr>
        <w:t>2</w:t>
      </w:r>
      <w:r>
        <w:rPr>
          <w:rFonts w:hint="eastAsia" w:ascii="宋体" w:hAnsi="宋体" w:eastAsia="宋体" w:cs="宋体"/>
          <w:bCs/>
          <w:color w:val="000000"/>
          <w:sz w:val="21"/>
          <w:szCs w:val="21"/>
          <w:highlight w:val="none"/>
        </w:rPr>
        <w:t>、未成年人参团旅游的，应征得法定监护人书面同意。未成年人的法定监护人共同参团旅游的，应当</w:t>
      </w:r>
      <w:r>
        <w:rPr>
          <w:rFonts w:hint="eastAsia" w:ascii="宋体" w:hAnsi="宋体" w:eastAsia="宋体" w:cs="宋体"/>
          <w:color w:val="000000"/>
          <w:sz w:val="21"/>
          <w:szCs w:val="21"/>
          <w:highlight w:val="none"/>
        </w:rPr>
        <w:t>保护随行未成年人的安全。</w:t>
      </w:r>
    </w:p>
    <w:p>
      <w:pPr>
        <w:adjustRightInd w:val="0"/>
        <w:spacing w:line="360" w:lineRule="auto"/>
        <w:ind w:firstLine="420" w:firstLineChars="200"/>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w:t>
      </w:r>
      <w:r>
        <w:rPr>
          <w:rFonts w:hint="eastAsia" w:ascii="宋体" w:hAnsi="宋体" w:eastAsia="宋体" w:cs="宋体"/>
          <w:bCs/>
          <w:color w:val="000000"/>
          <w:sz w:val="21"/>
          <w:szCs w:val="21"/>
          <w:highlight w:val="none"/>
        </w:rPr>
        <w:t>、行程中，老年人、未成年人应注意自身安全，特别是</w:t>
      </w:r>
      <w:r>
        <w:rPr>
          <w:rFonts w:hint="eastAsia" w:ascii="宋体" w:hAnsi="宋体" w:eastAsia="宋体" w:cs="宋体"/>
          <w:color w:val="000000"/>
          <w:sz w:val="21"/>
          <w:szCs w:val="21"/>
          <w:highlight w:val="none"/>
        </w:rPr>
        <w:t>在餐厅、浴室、卫生间及雨天步行时防止发生摔伤、滑倒等意外伤害事故，严禁参加高风险旅游及高风险娱乐项目。</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lang w:val="en-US" w:eastAsia="zh-CN"/>
        </w:rPr>
      </w:pPr>
      <w:r>
        <w:rPr>
          <w:rFonts w:hint="eastAsia" w:ascii="宋体" w:hAnsi="宋体" w:eastAsia="宋体" w:cs="宋体"/>
          <w:bCs/>
          <w:color w:val="000000"/>
          <w:sz w:val="21"/>
          <w:szCs w:val="21"/>
          <w:highlight w:val="none"/>
        </w:rPr>
        <w:t>4、</w:t>
      </w:r>
      <w:r>
        <w:rPr>
          <w:rFonts w:hint="eastAsia" w:ascii="宋体" w:hAnsi="宋体" w:eastAsia="宋体" w:cs="宋体"/>
          <w:color w:val="000000"/>
          <w:sz w:val="21"/>
          <w:szCs w:val="21"/>
          <w:highlight w:val="none"/>
        </w:rPr>
        <w:t>老年人、未成年人因自身疾病等健康原因无法继续旅行时，旅行社应积极协助其当地就医或返回，就医及返程费用由其自行承担，旅行社扣除</w:t>
      </w:r>
      <w:r>
        <w:rPr>
          <w:rFonts w:hint="eastAsia" w:ascii="宋体" w:hAnsi="宋体" w:eastAsia="宋体" w:cs="宋体"/>
          <w:color w:val="000000"/>
          <w:sz w:val="21"/>
          <w:szCs w:val="21"/>
          <w:highlight w:val="none"/>
          <w:lang w:val="en-US" w:eastAsia="zh-CN"/>
        </w:rPr>
        <w:t>相应人员5%的旅游</w:t>
      </w:r>
      <w:r>
        <w:rPr>
          <w:rFonts w:hint="eastAsia" w:ascii="宋体" w:hAnsi="宋体" w:eastAsia="宋体" w:cs="宋体"/>
          <w:color w:val="000000"/>
          <w:sz w:val="21"/>
          <w:szCs w:val="21"/>
          <w:highlight w:val="none"/>
        </w:rPr>
        <w:t>费</w:t>
      </w:r>
      <w:r>
        <w:rPr>
          <w:rFonts w:hint="eastAsia" w:ascii="宋体" w:hAnsi="宋体" w:eastAsia="宋体" w:cs="宋体"/>
          <w:color w:val="000000"/>
          <w:sz w:val="21"/>
          <w:szCs w:val="21"/>
          <w:highlight w:val="none"/>
          <w:lang w:val="en-US" w:eastAsia="zh-CN"/>
        </w:rPr>
        <w:t>用</w:t>
      </w:r>
      <w:r>
        <w:rPr>
          <w:rFonts w:hint="eastAsia" w:ascii="宋体" w:hAnsi="宋体" w:eastAsia="宋体" w:cs="宋体"/>
          <w:color w:val="000000"/>
          <w:sz w:val="21"/>
          <w:szCs w:val="21"/>
          <w:highlight w:val="none"/>
        </w:rPr>
        <w:t>后，将余款退还老年人、未成年人。</w:t>
      </w:r>
      <w:r>
        <w:rPr>
          <w:rFonts w:hint="eastAsia" w:ascii="宋体" w:hAnsi="宋体" w:eastAsia="宋体" w:cs="宋体"/>
          <w:color w:val="000000"/>
          <w:sz w:val="21"/>
          <w:szCs w:val="21"/>
          <w:highlight w:val="none"/>
          <w:lang w:val="en-US" w:eastAsia="zh-CN"/>
        </w:rPr>
        <w:t>若出发前取消行程的，老年人、未成年人不再支付旅游费用。</w:t>
      </w:r>
    </w:p>
    <w:p>
      <w:pPr>
        <w:adjustRightInd w:val="0"/>
        <w:spacing w:line="360" w:lineRule="auto"/>
        <w:ind w:firstLine="422"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第十</w:t>
      </w:r>
      <w:r>
        <w:rPr>
          <w:rFonts w:hint="eastAsia" w:ascii="宋体" w:hAnsi="宋体" w:eastAsia="宋体" w:cs="宋体"/>
          <w:b/>
          <w:color w:val="000000"/>
          <w:sz w:val="21"/>
          <w:szCs w:val="21"/>
          <w:highlight w:val="none"/>
          <w:lang w:val="en-US" w:eastAsia="zh-CN"/>
        </w:rPr>
        <w:t>四</w:t>
      </w:r>
      <w:r>
        <w:rPr>
          <w:rFonts w:hint="eastAsia" w:ascii="宋体" w:hAnsi="宋体" w:eastAsia="宋体" w:cs="宋体"/>
          <w:b/>
          <w:color w:val="000000"/>
          <w:sz w:val="21"/>
          <w:szCs w:val="21"/>
          <w:highlight w:val="none"/>
        </w:rPr>
        <w:t>条  责任免除</w:t>
      </w:r>
    </w:p>
    <w:p>
      <w:pPr>
        <w:tabs>
          <w:tab w:val="left" w:pos="5565"/>
        </w:tabs>
        <w:adjustRightInd w:val="0"/>
        <w:spacing w:line="360" w:lineRule="auto"/>
        <w:ind w:firstLine="422"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1、因</w:t>
      </w:r>
      <w:r>
        <w:rPr>
          <w:rFonts w:hint="eastAsia" w:ascii="宋体" w:hAnsi="宋体" w:eastAsia="宋体" w:cs="宋体"/>
          <w:b/>
          <w:color w:val="000000"/>
          <w:sz w:val="21"/>
          <w:szCs w:val="21"/>
          <w:highlight w:val="none"/>
          <w:lang w:eastAsia="zh-CN"/>
        </w:rPr>
        <w:t>甲方</w:t>
      </w:r>
      <w:r>
        <w:rPr>
          <w:rFonts w:hint="eastAsia" w:ascii="宋体" w:hAnsi="宋体" w:eastAsia="宋体" w:cs="宋体"/>
          <w:b/>
          <w:color w:val="000000"/>
          <w:sz w:val="21"/>
          <w:szCs w:val="21"/>
          <w:highlight w:val="none"/>
          <w:lang w:val="en-US" w:eastAsia="zh-CN"/>
        </w:rPr>
        <w:t>疗休养人员</w:t>
      </w:r>
      <w:r>
        <w:rPr>
          <w:rFonts w:hint="eastAsia" w:ascii="宋体" w:hAnsi="宋体" w:eastAsia="宋体" w:cs="宋体"/>
          <w:b/>
          <w:color w:val="000000"/>
          <w:sz w:val="21"/>
          <w:szCs w:val="21"/>
          <w:highlight w:val="none"/>
        </w:rPr>
        <w:t>自身原因（如违法犯罪行为、行为判断失误、疾病、自甘风险参加某些旅游项目等）、不可抗力或者旅行社、履行辅助人已尽合理注意义务仍不能避免的事件，导致旅游合同无法履行或者</w:t>
      </w:r>
      <w:r>
        <w:rPr>
          <w:rFonts w:hint="eastAsia" w:ascii="宋体" w:hAnsi="宋体" w:eastAsia="宋体" w:cs="宋体"/>
          <w:b/>
          <w:color w:val="000000"/>
          <w:sz w:val="21"/>
          <w:szCs w:val="21"/>
          <w:highlight w:val="none"/>
          <w:lang w:eastAsia="zh-CN"/>
        </w:rPr>
        <w:t>甲方</w:t>
      </w:r>
      <w:r>
        <w:rPr>
          <w:rFonts w:hint="eastAsia" w:ascii="宋体" w:hAnsi="宋体" w:eastAsia="宋体" w:cs="宋体"/>
          <w:b/>
          <w:color w:val="000000"/>
          <w:sz w:val="21"/>
          <w:szCs w:val="21"/>
          <w:highlight w:val="none"/>
          <w:lang w:val="en-US" w:eastAsia="zh-CN"/>
        </w:rPr>
        <w:t>疗休养人员</w:t>
      </w:r>
      <w:r>
        <w:rPr>
          <w:rFonts w:hint="eastAsia" w:ascii="宋体" w:hAnsi="宋体" w:eastAsia="宋体" w:cs="宋体"/>
          <w:b/>
          <w:color w:val="000000"/>
          <w:sz w:val="21"/>
          <w:szCs w:val="21"/>
          <w:highlight w:val="none"/>
        </w:rPr>
        <w:t>人身、财产权益受到损害的，旅行社应当协助处理。</w:t>
      </w:r>
    </w:p>
    <w:p>
      <w:pPr>
        <w:widowControl/>
        <w:adjustRightInd w:val="0"/>
        <w:spacing w:before="0" w:beforeAutospacing="0" w:after="0" w:afterAutospacing="0" w:line="360" w:lineRule="auto"/>
        <w:ind w:firstLine="422" w:firstLineChars="200"/>
        <w:jc w:val="both"/>
        <w:textAlignment w:val="auto"/>
        <w:outlineLvl w:val="9"/>
        <w:rPr>
          <w:rFonts w:hint="eastAsia" w:ascii="宋体" w:hAnsi="宋体" w:eastAsia="宋体" w:cs="宋体"/>
          <w:b/>
          <w:color w:val="000000"/>
          <w:kern w:val="0"/>
          <w:sz w:val="21"/>
          <w:szCs w:val="21"/>
          <w:highlight w:val="none"/>
          <w:lang w:val="en-US" w:eastAsia="zh-CN" w:bidi="ar-SA"/>
        </w:rPr>
      </w:pPr>
      <w:r>
        <w:rPr>
          <w:rFonts w:hint="eastAsia" w:ascii="宋体" w:hAnsi="宋体" w:eastAsia="宋体" w:cs="宋体"/>
          <w:b/>
          <w:color w:val="000000"/>
          <w:sz w:val="21"/>
          <w:szCs w:val="21"/>
          <w:highlight w:val="none"/>
        </w:rPr>
        <w:t>2、</w:t>
      </w:r>
      <w:r>
        <w:rPr>
          <w:rFonts w:hint="eastAsia" w:ascii="宋体" w:hAnsi="宋体" w:eastAsia="宋体" w:cs="宋体"/>
          <w:b/>
          <w:color w:val="000000"/>
          <w:kern w:val="0"/>
          <w:sz w:val="21"/>
          <w:szCs w:val="21"/>
          <w:highlight w:val="none"/>
          <w:lang w:val="en-US" w:eastAsia="zh-CN" w:bidi="ar-SA"/>
        </w:rPr>
        <w:t>由于公共交通经营者的原因造成甲方人身损害、财产损失的，由公共交通经营者依法承担赔偿责任，旅行社应当协助甲方向公共交通经营者索赔。</w:t>
      </w:r>
    </w:p>
    <w:p>
      <w:pPr>
        <w:adjustRightInd w:val="0"/>
        <w:spacing w:line="360" w:lineRule="auto"/>
        <w:ind w:firstLine="422"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第十</w:t>
      </w:r>
      <w:r>
        <w:rPr>
          <w:rFonts w:hint="eastAsia" w:ascii="宋体" w:hAnsi="宋体" w:eastAsia="宋体" w:cs="宋体"/>
          <w:b/>
          <w:color w:val="000000"/>
          <w:sz w:val="21"/>
          <w:szCs w:val="21"/>
          <w:highlight w:val="none"/>
          <w:lang w:val="en-US" w:eastAsia="zh-CN"/>
        </w:rPr>
        <w:t>五</w:t>
      </w:r>
      <w:r>
        <w:rPr>
          <w:rFonts w:hint="eastAsia" w:ascii="宋体" w:hAnsi="宋体" w:eastAsia="宋体" w:cs="宋体"/>
          <w:b/>
          <w:color w:val="000000"/>
          <w:sz w:val="21"/>
          <w:szCs w:val="21"/>
          <w:highlight w:val="none"/>
        </w:rPr>
        <w:t>条　本合同词语定义</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1、旅游费用，指</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rPr>
        <w:t>支付给旅行社，用于购买境内旅游服务的费用，包括：交通费（含机场税）、住宿费、餐费（不含</w:t>
      </w:r>
      <w:r>
        <w:rPr>
          <w:rFonts w:hint="eastAsia" w:ascii="宋体" w:hAnsi="宋体" w:eastAsia="宋体" w:cs="宋体"/>
          <w:color w:val="000000"/>
          <w:sz w:val="21"/>
          <w:szCs w:val="21"/>
          <w:highlight w:val="none"/>
          <w:lang w:val="en-US" w:eastAsia="zh-CN"/>
        </w:rPr>
        <w:t>甲方疗休养人员额外点的</w:t>
      </w:r>
      <w:r>
        <w:rPr>
          <w:rFonts w:hint="eastAsia" w:ascii="宋体" w:hAnsi="宋体" w:eastAsia="宋体" w:cs="宋体"/>
          <w:color w:val="000000"/>
          <w:sz w:val="21"/>
          <w:szCs w:val="21"/>
          <w:highlight w:val="none"/>
        </w:rPr>
        <w:t>酒水费）、旅行社统一安排的景区景点的第一道门票费、导游服务费及本合同约定的其他费用。</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2、离团，指团队旅游者经导游同意不随团队完成约定行程的行为。</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3、脱团，指团队旅游者未经导游同意脱离旅游团队，不随团队完成约定行程的行为。</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4、不可抗力，指不能预见、不能避免并不能克服的客观情况，包括因自然原因和社会原因引起的，如自然灾害、战争、恐怖活动、动乱、骚乱、罢工、突发公共卫生事件、政府行为。</w:t>
      </w: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val="en-US" w:eastAsia="zh-CN"/>
        </w:rPr>
        <w:t>5</w:t>
      </w:r>
      <w:r>
        <w:rPr>
          <w:rFonts w:hint="eastAsia" w:ascii="宋体" w:hAnsi="宋体" w:eastAsia="宋体" w:cs="宋体"/>
          <w:color w:val="000000"/>
          <w:sz w:val="21"/>
          <w:szCs w:val="21"/>
          <w:highlight w:val="none"/>
        </w:rPr>
        <w:t>、公共交通，指向社会不特定公众开放的提供运输服务的交通方式，包括航空、铁路、航运客轮、城市公交、地铁等。</w:t>
      </w:r>
    </w:p>
    <w:p>
      <w:pPr>
        <w:tabs>
          <w:tab w:val="left" w:pos="5565"/>
        </w:tabs>
        <w:adjustRightInd w:val="0"/>
        <w:spacing w:line="360" w:lineRule="auto"/>
        <w:ind w:firstLine="422" w:firstLineChars="200"/>
        <w:jc w:val="both"/>
        <w:textAlignment w:val="auto"/>
        <w:outlineLvl w:val="9"/>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eastAsia="宋体" w:cs="宋体"/>
          <w:b/>
          <w:bCs/>
          <w:color w:val="000000"/>
          <w:sz w:val="21"/>
          <w:szCs w:val="21"/>
          <w:highlight w:val="none"/>
          <w:lang w:val="en-US" w:eastAsia="zh-CN"/>
        </w:rPr>
        <w:t>六</w:t>
      </w:r>
      <w:r>
        <w:rPr>
          <w:rFonts w:hint="eastAsia" w:ascii="宋体" w:hAnsi="宋体" w:eastAsia="宋体" w:cs="宋体"/>
          <w:b/>
          <w:bCs/>
          <w:color w:val="000000"/>
          <w:sz w:val="21"/>
          <w:szCs w:val="21"/>
          <w:highlight w:val="none"/>
        </w:rPr>
        <w:t>条  争议的解决方式</w:t>
      </w:r>
    </w:p>
    <w:p>
      <w:pPr>
        <w:tabs>
          <w:tab w:val="left" w:pos="5565"/>
        </w:tabs>
        <w:adjustRightInd w:val="0"/>
        <w:spacing w:line="360" w:lineRule="auto"/>
        <w:ind w:firstLine="420" w:firstLineChars="200"/>
        <w:jc w:val="both"/>
        <w:textAlignment w:val="auto"/>
        <w:outlineLvl w:val="9"/>
        <w:rPr>
          <w:rFonts w:hint="eastAsia" w:ascii="宋体" w:hAnsi="宋体" w:eastAsia="宋体" w:cs="宋体"/>
          <w:b/>
          <w:bCs/>
          <w:color w:val="000000"/>
          <w:sz w:val="21"/>
          <w:szCs w:val="21"/>
          <w:highlight w:val="none"/>
        </w:rPr>
      </w:pPr>
      <w:r>
        <w:rPr>
          <w:rFonts w:hint="eastAsia" w:ascii="宋体" w:hAnsi="宋体" w:eastAsia="宋体" w:cs="宋体"/>
          <w:color w:val="000000"/>
          <w:sz w:val="21"/>
          <w:szCs w:val="21"/>
          <w:highlight w:val="none"/>
        </w:rPr>
        <w:t>本合同在履行过程中发生争议的，由双方协商解决，也可向有管辖权的旅游质监执法机构、消费者协会等有关部门或者机构申请调解，</w:t>
      </w:r>
      <w:r>
        <w:rPr>
          <w:rFonts w:hint="eastAsia" w:ascii="宋体" w:hAnsi="宋体" w:eastAsia="宋体" w:cs="宋体"/>
          <w:color w:val="000000"/>
          <w:sz w:val="21"/>
          <w:szCs w:val="21"/>
          <w:highlight w:val="none"/>
          <w:lang w:val="en-US" w:eastAsia="zh-CN"/>
        </w:rPr>
        <w:t>协商不成，双方均可向甲方所在地</w:t>
      </w:r>
      <w:r>
        <w:rPr>
          <w:rFonts w:hint="eastAsia" w:ascii="宋体" w:hAnsi="宋体" w:eastAsia="宋体" w:cs="宋体"/>
          <w:color w:val="000000"/>
          <w:sz w:val="21"/>
          <w:szCs w:val="21"/>
          <w:highlight w:val="none"/>
        </w:rPr>
        <w:t>人民法院起诉</w:t>
      </w:r>
      <w:r>
        <w:rPr>
          <w:rFonts w:hint="eastAsia" w:ascii="宋体" w:hAnsi="宋体" w:eastAsia="宋体" w:cs="宋体"/>
          <w:color w:val="000000"/>
          <w:sz w:val="21"/>
          <w:szCs w:val="21"/>
          <w:highlight w:val="none"/>
          <w:lang w:eastAsia="zh-CN"/>
        </w:rPr>
        <w:t>。</w:t>
      </w:r>
      <w:r>
        <w:rPr>
          <w:rFonts w:hint="eastAsia" w:ascii="宋体" w:hAnsi="宋体" w:eastAsia="宋体" w:cs="宋体"/>
          <w:b/>
          <w:bCs/>
          <w:color w:val="000000"/>
          <w:sz w:val="21"/>
          <w:szCs w:val="21"/>
          <w:highlight w:val="none"/>
        </w:rPr>
        <w:t xml:space="preserve">  </w:t>
      </w:r>
    </w:p>
    <w:p>
      <w:pPr>
        <w:tabs>
          <w:tab w:val="left" w:pos="5565"/>
        </w:tabs>
        <w:adjustRightInd w:val="0"/>
        <w:snapToGrid w:val="0"/>
        <w:spacing w:line="360" w:lineRule="auto"/>
        <w:ind w:firstLine="422"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b/>
          <w:bCs/>
          <w:color w:val="000000"/>
          <w:sz w:val="21"/>
          <w:szCs w:val="21"/>
          <w:highlight w:val="none"/>
        </w:rPr>
        <w:t>第十</w:t>
      </w:r>
      <w:r>
        <w:rPr>
          <w:rFonts w:hint="eastAsia" w:ascii="宋体" w:hAnsi="宋体" w:eastAsia="宋体" w:cs="宋体"/>
          <w:b/>
          <w:bCs/>
          <w:color w:val="000000"/>
          <w:sz w:val="21"/>
          <w:szCs w:val="21"/>
          <w:highlight w:val="none"/>
          <w:lang w:val="en-US" w:eastAsia="zh-CN"/>
        </w:rPr>
        <w:t>七</w:t>
      </w:r>
      <w:r>
        <w:rPr>
          <w:rFonts w:hint="eastAsia" w:ascii="宋体" w:hAnsi="宋体" w:eastAsia="宋体" w:cs="宋体"/>
          <w:b/>
          <w:bCs/>
          <w:color w:val="000000"/>
          <w:sz w:val="21"/>
          <w:szCs w:val="21"/>
          <w:highlight w:val="none"/>
        </w:rPr>
        <w:t xml:space="preserve">条  </w:t>
      </w:r>
      <w:r>
        <w:rPr>
          <w:rFonts w:hint="eastAsia" w:ascii="宋体" w:hAnsi="宋体" w:eastAsia="宋体" w:cs="宋体"/>
          <w:b/>
          <w:iCs/>
          <w:color w:val="000000"/>
          <w:sz w:val="21"/>
          <w:szCs w:val="21"/>
          <w:highlight w:val="none"/>
        </w:rPr>
        <w:t>其他约定事项</w:t>
      </w:r>
    </w:p>
    <w:p>
      <w:pPr>
        <w:tabs>
          <w:tab w:val="left" w:pos="5565"/>
        </w:tabs>
        <w:adjustRightInd w:val="0"/>
        <w:snapToGrid w:val="0"/>
        <w:spacing w:line="360" w:lineRule="auto"/>
        <w:ind w:firstLine="420"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color w:val="000000"/>
          <w:sz w:val="21"/>
          <w:szCs w:val="21"/>
          <w:highlight w:val="none"/>
          <w:lang w:val="en-US" w:eastAsia="zh-CN"/>
        </w:rPr>
        <w:t>1</w:t>
      </w:r>
      <w:r>
        <w:rPr>
          <w:rFonts w:hint="eastAsia" w:ascii="宋体" w:hAnsi="宋体" w:eastAsia="宋体" w:cs="宋体"/>
          <w:color w:val="000000"/>
          <w:sz w:val="21"/>
          <w:szCs w:val="21"/>
          <w:highlight w:val="none"/>
        </w:rPr>
        <w:t>、</w:t>
      </w:r>
      <w:r>
        <w:rPr>
          <w:rFonts w:hint="eastAsia" w:ascii="宋体" w:hAnsi="宋体" w:eastAsia="宋体" w:cs="宋体"/>
          <w:color w:val="000000"/>
          <w:sz w:val="21"/>
          <w:szCs w:val="21"/>
          <w:highlight w:val="none"/>
          <w:lang w:eastAsia="zh-CN"/>
        </w:rPr>
        <w:t>甲方</w:t>
      </w:r>
      <w:r>
        <w:rPr>
          <w:rFonts w:hint="eastAsia" w:ascii="宋体" w:hAnsi="宋体" w:eastAsia="宋体" w:cs="宋体"/>
          <w:color w:val="000000"/>
          <w:sz w:val="21"/>
          <w:szCs w:val="21"/>
          <w:highlight w:val="none"/>
          <w:u w:val="single"/>
        </w:rPr>
        <w:t>不同意</w:t>
      </w:r>
      <w:r>
        <w:rPr>
          <w:rFonts w:hint="eastAsia" w:ascii="宋体" w:hAnsi="宋体" w:eastAsia="宋体" w:cs="宋体"/>
          <w:color w:val="000000"/>
          <w:sz w:val="21"/>
          <w:szCs w:val="21"/>
          <w:highlight w:val="none"/>
        </w:rPr>
        <w:t>采用拼团方式出团。</w:t>
      </w:r>
    </w:p>
    <w:p>
      <w:pPr>
        <w:tabs>
          <w:tab w:val="left" w:pos="5565"/>
        </w:tabs>
        <w:adjustRightInd w:val="0"/>
        <w:spacing w:line="360" w:lineRule="auto"/>
        <w:ind w:firstLine="422"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b/>
          <w:color w:val="000000"/>
          <w:sz w:val="21"/>
          <w:szCs w:val="21"/>
          <w:highlight w:val="none"/>
        </w:rPr>
        <w:t>第十</w:t>
      </w:r>
      <w:r>
        <w:rPr>
          <w:rFonts w:hint="eastAsia" w:ascii="宋体" w:hAnsi="宋体" w:eastAsia="宋体" w:cs="宋体"/>
          <w:b/>
          <w:color w:val="000000"/>
          <w:sz w:val="21"/>
          <w:szCs w:val="21"/>
          <w:highlight w:val="none"/>
          <w:lang w:val="en-US" w:eastAsia="zh-CN"/>
        </w:rPr>
        <w:t>八</w:t>
      </w:r>
      <w:r>
        <w:rPr>
          <w:rFonts w:hint="eastAsia" w:ascii="宋体" w:hAnsi="宋体" w:eastAsia="宋体" w:cs="宋体"/>
          <w:b/>
          <w:color w:val="000000"/>
          <w:sz w:val="21"/>
          <w:szCs w:val="21"/>
          <w:highlight w:val="none"/>
        </w:rPr>
        <w:t>条  合同生效及组成</w:t>
      </w:r>
    </w:p>
    <w:p>
      <w:pPr>
        <w:widowControl/>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kern w:val="0"/>
          <w:sz w:val="21"/>
          <w:szCs w:val="21"/>
          <w:highlight w:val="none"/>
          <w:u w:val="single"/>
        </w:rPr>
      </w:pPr>
      <w:r>
        <w:rPr>
          <w:rFonts w:hint="eastAsia" w:ascii="宋体" w:hAnsi="宋体" w:eastAsia="宋体" w:cs="宋体"/>
          <w:color w:val="000000"/>
          <w:sz w:val="21"/>
          <w:szCs w:val="21"/>
          <w:highlight w:val="none"/>
        </w:rPr>
        <w:t>1、本合同一式</w:t>
      </w:r>
      <w:r>
        <w:rPr>
          <w:rFonts w:hint="eastAsia" w:ascii="宋体" w:hAnsi="宋体" w:eastAsia="宋体" w:cs="宋体"/>
          <w:color w:val="000000"/>
          <w:sz w:val="21"/>
          <w:szCs w:val="21"/>
          <w:highlight w:val="none"/>
          <w:lang w:val="en-US" w:eastAsia="zh-CN"/>
        </w:rPr>
        <w:t>两</w:t>
      </w:r>
      <w:r>
        <w:rPr>
          <w:rFonts w:hint="eastAsia" w:ascii="宋体" w:hAnsi="宋体" w:eastAsia="宋体" w:cs="宋体"/>
          <w:color w:val="000000"/>
          <w:sz w:val="21"/>
          <w:szCs w:val="21"/>
          <w:highlight w:val="none"/>
        </w:rPr>
        <w:t>份，</w:t>
      </w:r>
      <w:r>
        <w:rPr>
          <w:rFonts w:hint="eastAsia" w:ascii="宋体" w:hAnsi="宋体" w:eastAsia="宋体" w:cs="宋体"/>
          <w:color w:val="000000"/>
          <w:sz w:val="21"/>
          <w:szCs w:val="21"/>
          <w:highlight w:val="none"/>
          <w:lang w:val="en-US" w:eastAsia="zh-CN"/>
        </w:rPr>
        <w:t>双方</w:t>
      </w:r>
      <w:r>
        <w:rPr>
          <w:rFonts w:hint="eastAsia" w:ascii="宋体" w:hAnsi="宋体" w:eastAsia="宋体" w:cs="宋体"/>
          <w:color w:val="000000"/>
          <w:sz w:val="21"/>
          <w:szCs w:val="21"/>
          <w:highlight w:val="none"/>
        </w:rPr>
        <w:t>各持</w:t>
      </w:r>
      <w:r>
        <w:rPr>
          <w:rFonts w:hint="eastAsia" w:ascii="宋体" w:hAnsi="宋体" w:eastAsia="宋体" w:cs="宋体"/>
          <w:color w:val="000000"/>
          <w:sz w:val="21"/>
          <w:szCs w:val="21"/>
          <w:highlight w:val="none"/>
          <w:lang w:val="en-US" w:eastAsia="zh-CN"/>
        </w:rPr>
        <w:t>壹</w:t>
      </w:r>
      <w:r>
        <w:rPr>
          <w:rFonts w:hint="eastAsia" w:ascii="宋体" w:hAnsi="宋体" w:eastAsia="宋体" w:cs="宋体"/>
          <w:color w:val="000000"/>
          <w:sz w:val="21"/>
          <w:szCs w:val="21"/>
          <w:highlight w:val="none"/>
        </w:rPr>
        <w:t>份，自双方盖章之日起生效</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lang w:val="en-US" w:eastAsia="zh-CN"/>
        </w:rPr>
        <w:t>本合同履行期限为三年，自双方签订合同之日起开始计算</w:t>
      </w:r>
      <w:r>
        <w:rPr>
          <w:rFonts w:hint="eastAsia" w:ascii="宋体" w:hAnsi="宋体" w:eastAsia="宋体" w:cs="宋体"/>
          <w:color w:val="000000"/>
          <w:sz w:val="21"/>
          <w:szCs w:val="21"/>
          <w:highlight w:val="none"/>
        </w:rPr>
        <w:t>。</w:t>
      </w:r>
    </w:p>
    <w:p>
      <w:pPr>
        <w:widowControl/>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2、</w:t>
      </w:r>
      <w:r>
        <w:rPr>
          <w:rFonts w:hint="eastAsia" w:ascii="宋体" w:hAnsi="宋体" w:eastAsia="宋体" w:cs="宋体"/>
          <w:bCs/>
          <w:color w:val="000000"/>
          <w:sz w:val="21"/>
          <w:szCs w:val="21"/>
          <w:highlight w:val="none"/>
        </w:rPr>
        <w:t>（项目编号：</w:t>
      </w:r>
      <w:r>
        <w:rPr>
          <w:rFonts w:hint="eastAsia" w:ascii="宋体" w:hAnsi="宋体" w:eastAsia="宋体" w:cs="宋体"/>
          <w:bCs/>
          <w:color w:val="000000"/>
          <w:sz w:val="21"/>
          <w:szCs w:val="21"/>
          <w:highlight w:val="none"/>
          <w:lang w:val="en-US" w:eastAsia="zh-CN"/>
        </w:rPr>
        <w:t>YLD-ZB-20240403</w:t>
      </w:r>
      <w:r>
        <w:rPr>
          <w:rFonts w:hint="eastAsia" w:ascii="宋体" w:hAnsi="宋体" w:eastAsia="宋体" w:cs="宋体"/>
          <w:bCs/>
          <w:color w:val="000000"/>
          <w:sz w:val="21"/>
          <w:szCs w:val="21"/>
          <w:highlight w:val="none"/>
        </w:rPr>
        <w:t>）</w:t>
      </w:r>
      <w:r>
        <w:rPr>
          <w:rFonts w:hint="eastAsia" w:ascii="宋体" w:hAnsi="宋体" w:eastAsia="宋体" w:cs="宋体"/>
          <w:color w:val="000000"/>
          <w:sz w:val="21"/>
          <w:szCs w:val="21"/>
          <w:highlight w:val="none"/>
        </w:rPr>
        <w:t>招标文件、</w:t>
      </w:r>
      <w:r>
        <w:rPr>
          <w:rFonts w:hint="eastAsia" w:ascii="宋体" w:hAnsi="宋体" w:eastAsia="宋体" w:cs="宋体"/>
          <w:color w:val="000000"/>
          <w:sz w:val="21"/>
          <w:szCs w:val="21"/>
          <w:highlight w:val="none"/>
          <w:lang w:val="en-US" w:eastAsia="zh-CN"/>
        </w:rPr>
        <w:t>乙方的</w:t>
      </w:r>
      <w:r>
        <w:rPr>
          <w:rFonts w:hint="eastAsia" w:ascii="宋体" w:hAnsi="宋体" w:eastAsia="宋体" w:cs="宋体"/>
          <w:color w:val="000000"/>
          <w:sz w:val="21"/>
          <w:szCs w:val="21"/>
          <w:highlight w:val="none"/>
        </w:rPr>
        <w:t>投标文件（含优惠承诺）、</w:t>
      </w:r>
      <w:r>
        <w:rPr>
          <w:rFonts w:hint="eastAsia" w:ascii="宋体" w:hAnsi="宋体" w:eastAsia="宋体" w:cs="宋体"/>
          <w:color w:val="000000"/>
          <w:sz w:val="21"/>
          <w:szCs w:val="21"/>
          <w:highlight w:val="none"/>
          <w:lang w:val="en-US" w:eastAsia="zh-CN"/>
        </w:rPr>
        <w:t>二轮议标内容、</w:t>
      </w:r>
      <w:r>
        <w:rPr>
          <w:rFonts w:hint="eastAsia" w:ascii="宋体" w:hAnsi="宋体" w:eastAsia="宋体" w:cs="宋体"/>
          <w:color w:val="000000"/>
          <w:sz w:val="21"/>
          <w:szCs w:val="21"/>
          <w:highlight w:val="none"/>
        </w:rPr>
        <w:t>中标通知书、</w:t>
      </w:r>
      <w:r>
        <w:rPr>
          <w:rFonts w:hint="eastAsia" w:ascii="宋体" w:hAnsi="宋体" w:eastAsia="宋体" w:cs="宋体"/>
          <w:color w:val="000000"/>
          <w:sz w:val="21"/>
          <w:szCs w:val="21"/>
          <w:highlight w:val="none"/>
          <w:lang w:val="en-US" w:eastAsia="zh-CN"/>
        </w:rPr>
        <w:t>双方共同确认的</w:t>
      </w:r>
      <w:r>
        <w:rPr>
          <w:rFonts w:hint="eastAsia" w:ascii="宋体" w:hAnsi="宋体" w:eastAsia="宋体" w:cs="宋体"/>
          <w:color w:val="000000"/>
          <w:sz w:val="21"/>
          <w:szCs w:val="21"/>
          <w:highlight w:val="none"/>
        </w:rPr>
        <w:t>《旅游行程单》以及双方当事人经协商后变更或者补充的</w:t>
      </w:r>
      <w:r>
        <w:rPr>
          <w:rFonts w:hint="eastAsia" w:ascii="宋体" w:hAnsi="宋体" w:eastAsia="宋体" w:cs="宋体"/>
          <w:color w:val="000000"/>
          <w:sz w:val="21"/>
          <w:szCs w:val="21"/>
          <w:highlight w:val="none"/>
          <w:lang w:val="en-US" w:eastAsia="zh-CN"/>
        </w:rPr>
        <w:t>双方盖章的</w:t>
      </w:r>
      <w:r>
        <w:rPr>
          <w:rFonts w:hint="eastAsia" w:ascii="宋体" w:hAnsi="宋体" w:eastAsia="宋体" w:cs="宋体"/>
          <w:color w:val="000000"/>
          <w:sz w:val="21"/>
          <w:szCs w:val="21"/>
          <w:highlight w:val="none"/>
        </w:rPr>
        <w:t>协议</w:t>
      </w:r>
      <w:r>
        <w:rPr>
          <w:rFonts w:hint="eastAsia" w:ascii="宋体" w:hAnsi="宋体" w:eastAsia="宋体" w:cs="宋体"/>
          <w:color w:val="000000"/>
          <w:sz w:val="21"/>
          <w:szCs w:val="21"/>
          <w:highlight w:val="none"/>
          <w:lang w:eastAsia="zh-CN"/>
        </w:rPr>
        <w:t>、</w:t>
      </w:r>
      <w:r>
        <w:rPr>
          <w:rFonts w:hint="eastAsia" w:ascii="宋体" w:hAnsi="宋体" w:eastAsia="宋体" w:cs="宋体"/>
          <w:color w:val="000000"/>
          <w:sz w:val="21"/>
          <w:szCs w:val="21"/>
          <w:highlight w:val="none"/>
          <w:lang w:val="en-US" w:eastAsia="zh-CN"/>
        </w:rPr>
        <w:t>乙方购买的保险保单</w:t>
      </w:r>
      <w:r>
        <w:rPr>
          <w:rFonts w:hint="eastAsia" w:ascii="宋体" w:hAnsi="宋体" w:eastAsia="宋体" w:cs="宋体"/>
          <w:color w:val="000000"/>
          <w:sz w:val="21"/>
          <w:szCs w:val="21"/>
          <w:highlight w:val="none"/>
        </w:rPr>
        <w:t>，均为本合同组成部分。</w:t>
      </w:r>
    </w:p>
    <w:p>
      <w:pPr>
        <w:pStyle w:val="3"/>
        <w:autoSpaceDE/>
        <w:autoSpaceDN/>
        <w:spacing w:line="360" w:lineRule="auto"/>
        <w:ind w:firstLine="420" w:firstLineChars="200"/>
        <w:jc w:val="both"/>
        <w:rPr>
          <w:rFonts w:hint="eastAsia" w:ascii="宋体" w:hAnsi="宋体" w:eastAsia="宋体" w:cs="宋体"/>
          <w:sz w:val="21"/>
          <w:szCs w:val="21"/>
          <w:lang w:val="en-US" w:eastAsia="zh-CN"/>
        </w:rPr>
      </w:pPr>
    </w:p>
    <w:p>
      <w:pPr>
        <w:tabs>
          <w:tab w:val="left" w:pos="5565"/>
        </w:tabs>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lang w:val="en-US" w:eastAsia="zh-CN"/>
        </w:rPr>
        <w:t>（以下无正文）</w:t>
      </w:r>
    </w:p>
    <w:p>
      <w:pPr>
        <w:adjustRightInd w:val="0"/>
        <w:spacing w:line="360" w:lineRule="auto"/>
        <w:ind w:firstLine="420" w:firstLineChars="200"/>
        <w:jc w:val="both"/>
        <w:textAlignment w:val="auto"/>
        <w:outlineLvl w:val="9"/>
        <w:rPr>
          <w:rFonts w:hint="eastAsia" w:ascii="宋体" w:hAnsi="宋体" w:eastAsia="宋体" w:cs="宋体"/>
          <w:b/>
          <w:color w:val="000000"/>
          <w:sz w:val="21"/>
          <w:szCs w:val="21"/>
          <w:highlight w:val="none"/>
        </w:rPr>
      </w:pPr>
      <w:r>
        <w:rPr>
          <w:rFonts w:hint="eastAsia" w:ascii="宋体" w:hAnsi="宋体" w:eastAsia="宋体" w:cs="宋体"/>
          <w:color w:val="000000"/>
          <w:kern w:val="0"/>
          <w:sz w:val="21"/>
          <w:szCs w:val="21"/>
          <w:highlight w:val="none"/>
          <w:lang w:eastAsia="zh-CN"/>
        </w:rPr>
        <w:t>甲方</w:t>
      </w:r>
      <w:r>
        <w:rPr>
          <w:rFonts w:hint="eastAsia" w:ascii="宋体" w:hAnsi="宋体" w:eastAsia="宋体" w:cs="宋体"/>
          <w:color w:val="000000"/>
          <w:sz w:val="21"/>
          <w:szCs w:val="21"/>
          <w:highlight w:val="none"/>
        </w:rPr>
        <w:t>（</w:t>
      </w:r>
      <w:r>
        <w:rPr>
          <w:rFonts w:hint="eastAsia" w:ascii="宋体" w:hAnsi="宋体" w:eastAsia="宋体" w:cs="宋体"/>
          <w:color w:val="000000"/>
          <w:sz w:val="21"/>
          <w:szCs w:val="21"/>
          <w:highlight w:val="none"/>
          <w:lang w:val="en-US" w:eastAsia="zh-CN"/>
        </w:rPr>
        <w:t>盖章</w:t>
      </w:r>
      <w:r>
        <w:rPr>
          <w:rFonts w:hint="eastAsia" w:ascii="宋体" w:hAnsi="宋体" w:eastAsia="宋体" w:cs="宋体"/>
          <w:color w:val="000000"/>
          <w:sz w:val="21"/>
          <w:szCs w:val="21"/>
          <w:highlight w:val="none"/>
        </w:rPr>
        <w:t xml:space="preserve">）：                               </w:t>
      </w:r>
      <w:r>
        <w:rPr>
          <w:rFonts w:hint="eastAsia" w:ascii="宋体" w:hAnsi="宋体" w:eastAsia="宋体" w:cs="宋体"/>
          <w:color w:val="000000"/>
          <w:kern w:val="0"/>
          <w:sz w:val="21"/>
          <w:szCs w:val="21"/>
          <w:highlight w:val="none"/>
          <w:lang w:val="en-US" w:eastAsia="zh-CN"/>
        </w:rPr>
        <w:t>乙方</w:t>
      </w:r>
      <w:r>
        <w:rPr>
          <w:rFonts w:hint="eastAsia" w:ascii="宋体" w:hAnsi="宋体" w:eastAsia="宋体" w:cs="宋体"/>
          <w:color w:val="000000"/>
          <w:sz w:val="21"/>
          <w:szCs w:val="21"/>
          <w:highlight w:val="none"/>
        </w:rPr>
        <w:t>（盖章）：</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                                              </w:t>
      </w:r>
    </w:p>
    <w:p>
      <w:pPr>
        <w:adjustRightInd w:val="0"/>
        <w:spacing w:line="360" w:lineRule="auto"/>
        <w:ind w:firstLine="420" w:firstLineChars="200"/>
        <w:jc w:val="both"/>
        <w:textAlignment w:val="auto"/>
        <w:outlineLvl w:val="9"/>
        <w:rPr>
          <w:rFonts w:hint="eastAsia"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rPr>
        <w:t>签约日期：</w:t>
      </w:r>
      <w:r>
        <w:rPr>
          <w:rFonts w:hint="eastAsia" w:ascii="宋体" w:hAnsi="宋体" w:eastAsia="宋体" w:cs="宋体"/>
          <w:color w:val="000000"/>
          <w:sz w:val="21"/>
          <w:szCs w:val="21"/>
          <w:highlight w:val="none"/>
          <w:lang w:val="en-US" w:eastAsia="zh-CN"/>
        </w:rPr>
        <w:t xml:space="preserve">   年    月   日</w:t>
      </w:r>
      <w:r>
        <w:rPr>
          <w:rFonts w:hint="eastAsia" w:ascii="宋体" w:hAnsi="宋体" w:eastAsia="宋体" w:cs="宋体"/>
          <w:color w:val="000000"/>
          <w:sz w:val="21"/>
          <w:szCs w:val="21"/>
          <w:highlight w:val="none"/>
        </w:rPr>
        <w:t xml:space="preserve">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 xml:space="preserve">   签约日期：</w:t>
      </w:r>
      <w:r>
        <w:rPr>
          <w:rFonts w:hint="eastAsia" w:ascii="宋体" w:hAnsi="宋体" w:eastAsia="宋体" w:cs="宋体"/>
          <w:color w:val="000000"/>
          <w:sz w:val="21"/>
          <w:szCs w:val="21"/>
          <w:highlight w:val="none"/>
          <w:lang w:val="en-US" w:eastAsia="zh-CN"/>
        </w:rPr>
        <w:t xml:space="preserve">   年    月   日</w:t>
      </w:r>
    </w:p>
    <w:p>
      <w:pPr>
        <w:adjustRightInd w:val="0"/>
        <w:snapToGrid w:val="0"/>
        <w:spacing w:line="360" w:lineRule="auto"/>
        <w:ind w:firstLine="422" w:firstLineChars="200"/>
        <w:jc w:val="both"/>
        <w:textAlignment w:val="auto"/>
        <w:outlineLvl w:val="9"/>
        <w:rPr>
          <w:rFonts w:hint="eastAsia" w:ascii="宋体" w:hAnsi="宋体" w:eastAsia="宋体" w:cs="宋体"/>
          <w:b/>
          <w:color w:val="000000"/>
          <w:sz w:val="21"/>
          <w:szCs w:val="21"/>
          <w:highlight w:val="none"/>
        </w:rPr>
      </w:pPr>
    </w:p>
    <w:p>
      <w:pPr>
        <w:adjustRightInd w:val="0"/>
        <w:spacing w:line="360" w:lineRule="auto"/>
        <w:ind w:firstLine="422" w:firstLineChars="200"/>
        <w:textAlignment w:val="auto"/>
        <w:outlineLvl w:val="9"/>
        <w:rPr>
          <w:rFonts w:hint="eastAsia" w:ascii="宋体" w:hAnsi="宋体" w:eastAsia="宋体" w:cs="宋体"/>
          <w:sz w:val="21"/>
          <w:szCs w:val="21"/>
          <w:highlight w:val="none"/>
        </w:rPr>
      </w:pPr>
      <w:r>
        <w:rPr>
          <w:rFonts w:hint="eastAsia" w:ascii="宋体" w:hAnsi="宋体" w:eastAsia="宋体" w:cs="宋体"/>
          <w:b/>
          <w:color w:val="000000"/>
          <w:sz w:val="21"/>
          <w:szCs w:val="21"/>
          <w:highlight w:val="none"/>
        </w:rPr>
        <w:t>合同签约地点：</w:t>
      </w:r>
      <w:r>
        <w:rPr>
          <w:rFonts w:hint="eastAsia" w:ascii="宋体" w:hAnsi="宋体" w:eastAsia="宋体" w:cs="宋体"/>
          <w:b/>
          <w:color w:val="000000"/>
          <w:sz w:val="21"/>
          <w:szCs w:val="21"/>
          <w:highlight w:val="none"/>
          <w:lang w:val="en-US" w:eastAsia="zh-CN"/>
        </w:rPr>
        <w:t>浙江省台州市路桥区横街镇</w:t>
      </w:r>
      <w:r>
        <w:rPr>
          <w:rFonts w:hint="eastAsia" w:ascii="宋体" w:hAnsi="宋体" w:eastAsia="宋体" w:cs="宋体"/>
          <w:b/>
          <w:color w:val="000000"/>
          <w:sz w:val="21"/>
          <w:szCs w:val="21"/>
          <w:highlight w:val="none"/>
          <w:u w:val="single"/>
        </w:rPr>
        <w:t xml:space="preserve">   </w:t>
      </w:r>
      <w:r>
        <w:rPr>
          <w:rFonts w:hint="eastAsia" w:ascii="宋体" w:hAnsi="宋体" w:eastAsia="宋体" w:cs="宋体"/>
          <w:b/>
          <w:color w:val="000000"/>
          <w:sz w:val="21"/>
          <w:szCs w:val="21"/>
          <w:highlight w:val="none"/>
          <w:u w:val="single"/>
          <w:lang w:val="en-US" w:eastAsia="zh-CN"/>
        </w:rPr>
        <w:t xml:space="preserve">  </w:t>
      </w:r>
      <w:r>
        <w:rPr>
          <w:rFonts w:hint="eastAsia" w:ascii="宋体" w:hAnsi="宋体" w:eastAsia="宋体" w:cs="宋体"/>
          <w:b/>
          <w:color w:val="000000"/>
          <w:sz w:val="21"/>
          <w:szCs w:val="21"/>
          <w:highlight w:val="none"/>
          <w:u w:val="single"/>
        </w:rPr>
        <w:t xml:space="preserve">            </w:t>
      </w:r>
      <w:r>
        <w:rPr>
          <w:rFonts w:hint="eastAsia" w:ascii="宋体" w:hAnsi="宋体" w:eastAsia="宋体" w:cs="宋体"/>
          <w:sz w:val="21"/>
          <w:szCs w:val="21"/>
          <w:highlight w:val="none"/>
        </w:rPr>
        <w:t xml:space="preserve"> </w:t>
      </w:r>
    </w:p>
    <w:p>
      <w:pPr>
        <w:adjustRightInd w:val="0"/>
        <w:spacing w:line="360" w:lineRule="auto"/>
        <w:ind w:firstLine="420" w:firstLineChars="200"/>
        <w:textAlignment w:val="auto"/>
        <w:outlineLvl w:val="9"/>
        <w:rPr>
          <w:rFonts w:hint="eastAsia" w:ascii="宋体" w:hAnsi="宋体" w:eastAsia="宋体" w:cs="宋体"/>
          <w:sz w:val="21"/>
          <w:szCs w:val="21"/>
          <w:highlight w:val="none"/>
        </w:rPr>
      </w:pPr>
    </w:p>
    <w:p>
      <w:pPr>
        <w:spacing w:line="360" w:lineRule="auto"/>
        <w:ind w:firstLine="422" w:firstLineChars="200"/>
        <w:textAlignment w:val="auto"/>
        <w:outlineLvl w:val="9"/>
        <w:rPr>
          <w:rFonts w:hint="eastAsia" w:ascii="宋体" w:hAnsi="宋体" w:eastAsia="宋体" w:cs="宋体"/>
          <w:b/>
          <w:bCs/>
          <w:sz w:val="21"/>
          <w:szCs w:val="21"/>
          <w:highlight w:val="none"/>
        </w:rPr>
        <w:sectPr>
          <w:pgSz w:w="11906" w:h="16838"/>
          <w:pgMar w:top="1558" w:right="1531" w:bottom="1371" w:left="1531" w:header="851" w:footer="851" w:gutter="0"/>
          <w:pgBorders>
            <w:top w:val="none" w:sz="0" w:space="0"/>
            <w:left w:val="none" w:sz="0" w:space="0"/>
            <w:bottom w:val="none" w:sz="0" w:space="0"/>
            <w:right w:val="none" w:sz="0" w:space="0"/>
          </w:pgBorders>
          <w:pgNumType w:fmt="decimal"/>
          <w:cols w:space="720" w:num="1"/>
          <w:titlePg/>
          <w:docGrid w:type="lines" w:linePitch="312" w:charSpace="0"/>
        </w:sectPr>
      </w:pPr>
    </w:p>
    <w:p>
      <w:pPr>
        <w:pStyle w:val="5"/>
        <w:spacing w:after="0" w:line="360" w:lineRule="auto"/>
        <w:jc w:val="center"/>
        <w:rPr>
          <w:rFonts w:hint="eastAsia" w:ascii="宋体" w:hAnsi="宋体"/>
          <w:color w:val="000000" w:themeColor="text1"/>
          <w:highlight w:val="none"/>
          <w14:textFill>
            <w14:solidFill>
              <w14:schemeClr w14:val="tx1"/>
            </w14:solidFill>
          </w14:textFill>
        </w:rPr>
      </w:pPr>
      <w:bookmarkStart w:id="357" w:name="_Toc9039"/>
      <w:bookmarkStart w:id="358" w:name="_Toc13345"/>
      <w:bookmarkStart w:id="359" w:name="_Toc28032"/>
      <w:r>
        <w:rPr>
          <w:rFonts w:hint="eastAsia"/>
          <w:highlight w:val="none"/>
        </w:rPr>
        <w:t xml:space="preserve">第四章  </w:t>
      </w:r>
      <w:bookmarkEnd w:id="342"/>
      <w:bookmarkEnd w:id="343"/>
      <w:bookmarkEnd w:id="344"/>
      <w:r>
        <w:rPr>
          <w:rFonts w:hint="eastAsia"/>
          <w:highlight w:val="none"/>
        </w:rPr>
        <w:t>用户需求</w:t>
      </w:r>
      <w:bookmarkEnd w:id="348"/>
      <w:bookmarkEnd w:id="349"/>
      <w:bookmarkEnd w:id="350"/>
      <w:bookmarkEnd w:id="351"/>
      <w:bookmarkEnd w:id="352"/>
      <w:bookmarkEnd w:id="353"/>
      <w:bookmarkEnd w:id="354"/>
      <w:bookmarkEnd w:id="355"/>
      <w:bookmarkEnd w:id="356"/>
      <w:bookmarkEnd w:id="357"/>
      <w:bookmarkEnd w:id="358"/>
      <w:bookmarkEnd w:id="359"/>
      <w:bookmarkStart w:id="360" w:name="_Toc226969356"/>
      <w:bookmarkStart w:id="361" w:name="_Toc227057962"/>
    </w:p>
    <w:p>
      <w:pPr>
        <w:pStyle w:val="6"/>
        <w:numPr>
          <w:ilvl w:val="0"/>
          <w:numId w:val="51"/>
        </w:numPr>
        <w:ind w:firstLine="420" w:firstLineChars="0"/>
        <w:rPr>
          <w:rFonts w:hint="eastAsia" w:ascii="宋体" w:hAnsi="宋体" w:eastAsia="宋体" w:cs="宋体"/>
          <w:b/>
          <w:bCs w:val="0"/>
          <w:sz w:val="32"/>
          <w:szCs w:val="32"/>
          <w:lang w:val="en-US" w:eastAsia="zh-CN"/>
        </w:rPr>
      </w:pPr>
      <w:bookmarkStart w:id="362" w:name="_Toc18817"/>
      <w:bookmarkStart w:id="363" w:name="_Toc3461"/>
      <w:bookmarkStart w:id="364" w:name="_Toc530"/>
      <w:bookmarkStart w:id="365" w:name="_Toc19713"/>
      <w:bookmarkStart w:id="366" w:name="_Toc8182"/>
      <w:bookmarkStart w:id="367" w:name="_Toc328"/>
      <w:bookmarkStart w:id="368" w:name="_Toc10089"/>
      <w:bookmarkStart w:id="369" w:name="_Toc24623"/>
      <w:r>
        <w:rPr>
          <w:rFonts w:hint="eastAsia" w:ascii="宋体" w:hAnsi="宋体" w:eastAsia="宋体" w:cs="宋体"/>
          <w:b/>
          <w:bCs w:val="0"/>
          <w:sz w:val="32"/>
          <w:szCs w:val="32"/>
          <w:lang w:val="en-US" w:eastAsia="zh-CN"/>
        </w:rPr>
        <w:t>项目概况</w:t>
      </w:r>
      <w:bookmarkEnd w:id="362"/>
      <w:bookmarkEnd w:id="363"/>
      <w:bookmarkEnd w:id="364"/>
      <w:bookmarkEnd w:id="365"/>
      <w:bookmarkEnd w:id="366"/>
      <w:bookmarkEnd w:id="367"/>
      <w:bookmarkEnd w:id="368"/>
      <w:bookmarkEnd w:id="369"/>
    </w:p>
    <w:p>
      <w:pPr>
        <w:widowControl/>
        <w:numPr>
          <w:ilvl w:val="-1"/>
          <w:numId w:val="0"/>
        </w:numPr>
        <w:spacing w:line="360" w:lineRule="auto"/>
        <w:ind w:firstLine="420" w:firstLineChars="200"/>
        <w:jc w:val="both"/>
        <w:rPr>
          <w:rFonts w:hint="default"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为提高企业凝聚力，提升员工幸福感与归属感，践行亿利达家园文化，保障员工劳逸结合，决定实施本项目。主要业务为招标人的疗休养等活动的组织服务，包括食、宿、行等活动的具体安排，注重疗与休相结合。</w:t>
      </w:r>
    </w:p>
    <w:p>
      <w:pPr>
        <w:pStyle w:val="6"/>
        <w:numPr>
          <w:ilvl w:val="0"/>
          <w:numId w:val="51"/>
        </w:numPr>
        <w:ind w:firstLine="420" w:firstLineChars="0"/>
        <w:rPr>
          <w:rFonts w:hint="eastAsia" w:ascii="宋体" w:hAnsi="宋体" w:eastAsia="宋体" w:cs="宋体"/>
          <w:b/>
          <w:bCs w:val="0"/>
          <w:sz w:val="32"/>
          <w:szCs w:val="32"/>
          <w:lang w:val="en-US" w:eastAsia="zh-CN"/>
        </w:rPr>
      </w:pPr>
      <w:bookmarkStart w:id="370" w:name="_Toc9055"/>
      <w:bookmarkStart w:id="371" w:name="_Toc15368"/>
      <w:bookmarkStart w:id="372" w:name="_Toc29034"/>
      <w:bookmarkStart w:id="373" w:name="_Toc27736"/>
      <w:bookmarkStart w:id="374" w:name="_Toc1352"/>
      <w:bookmarkStart w:id="375" w:name="_Toc23632"/>
      <w:bookmarkStart w:id="376" w:name="_Toc17251"/>
      <w:bookmarkStart w:id="377" w:name="_Toc24951"/>
      <w:r>
        <w:rPr>
          <w:rFonts w:hint="eastAsia" w:ascii="宋体" w:hAnsi="宋体" w:cs="宋体"/>
          <w:b/>
          <w:bCs w:val="0"/>
          <w:sz w:val="32"/>
          <w:szCs w:val="32"/>
          <w:lang w:val="en-US" w:eastAsia="zh-CN"/>
        </w:rPr>
        <w:t>具体服务路线</w:t>
      </w:r>
      <w:bookmarkEnd w:id="370"/>
      <w:bookmarkEnd w:id="371"/>
      <w:bookmarkEnd w:id="372"/>
      <w:bookmarkEnd w:id="373"/>
      <w:bookmarkEnd w:id="374"/>
      <w:bookmarkEnd w:id="375"/>
      <w:bookmarkEnd w:id="376"/>
      <w:bookmarkEnd w:id="377"/>
    </w:p>
    <w:p>
      <w:pPr>
        <w:widowControl/>
        <w:numPr>
          <w:ilvl w:val="0"/>
          <w:numId w:val="52"/>
        </w:numPr>
        <w:spacing w:line="360" w:lineRule="auto"/>
        <w:ind w:firstLine="420" w:firstLineChars="200"/>
        <w:jc w:val="both"/>
        <w:rPr>
          <w:rFonts w:hint="eastAsia"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疗休养时间：5月至8月</w:t>
      </w:r>
      <w:r>
        <w:rPr>
          <w:rFonts w:hint="eastAsia"/>
          <w:highlight w:val="none"/>
          <w:lang w:eastAsia="zh-CN"/>
        </w:rPr>
        <w:t>，</w:t>
      </w:r>
      <w:r>
        <w:rPr>
          <w:rFonts w:hint="eastAsia"/>
          <w:highlight w:val="none"/>
          <w:lang w:val="en-US" w:eastAsia="zh-CN"/>
        </w:rPr>
        <w:t>具体出游时间以招标人意见为准。</w:t>
      </w:r>
    </w:p>
    <w:p>
      <w:pPr>
        <w:widowControl/>
        <w:numPr>
          <w:ilvl w:val="0"/>
          <w:numId w:val="52"/>
        </w:numPr>
        <w:spacing w:line="360" w:lineRule="auto"/>
        <w:ind w:firstLine="420" w:firstLineChars="200"/>
        <w:jc w:val="both"/>
        <w:rPr>
          <w:rFonts w:hint="eastAsia" w:ascii="宋体" w:hAnsi="宋体" w:eastAsia="宋体" w:cs="宋体"/>
          <w:b w:val="0"/>
          <w:bCs/>
          <w:color w:val="auto"/>
          <w:szCs w:val="21"/>
          <w:highlight w:val="none"/>
          <w:lang w:val="en-US" w:eastAsia="zh-CN"/>
        </w:rPr>
      </w:pPr>
      <w:r>
        <w:rPr>
          <w:rFonts w:hint="eastAsia" w:ascii="宋体" w:hAnsi="宋体" w:eastAsia="宋体" w:cs="宋体"/>
          <w:b/>
          <w:color w:val="auto"/>
          <w:szCs w:val="21"/>
          <w:highlight w:val="none"/>
          <w:lang w:val="en-US" w:eastAsia="zh-CN"/>
        </w:rPr>
        <w:t>疗休养参加人数：</w:t>
      </w:r>
    </w:p>
    <w:tbl>
      <w:tblPr>
        <w:tblStyle w:val="48"/>
        <w:tblW w:w="76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666"/>
        <w:gridCol w:w="1549"/>
        <w:gridCol w:w="2084"/>
        <w:gridCol w:w="23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5" w:hRule="atLeast"/>
        </w:trPr>
        <w:tc>
          <w:tcPr>
            <w:tcW w:w="7622" w:type="dxa"/>
            <w:gridSpan w:val="4"/>
            <w:tcBorders>
              <w:top w:val="single" w:color="000000" w:sz="4" w:space="0"/>
              <w:left w:val="single" w:color="000000" w:sz="4" w:space="0"/>
              <w:bottom w:val="single" w:color="000000" w:sz="4" w:space="0"/>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
                <w:bCs/>
                <w:i w:val="0"/>
                <w:color w:val="000000"/>
                <w:sz w:val="21"/>
                <w:szCs w:val="21"/>
                <w:u w:val="none"/>
              </w:rPr>
            </w:pPr>
            <w:r>
              <w:rPr>
                <w:rFonts w:hint="eastAsia" w:ascii="宋体" w:hAnsi="宋体" w:eastAsia="宋体" w:cs="宋体"/>
                <w:b/>
                <w:bCs/>
                <w:i w:val="0"/>
                <w:color w:val="000000"/>
                <w:kern w:val="0"/>
                <w:sz w:val="21"/>
                <w:szCs w:val="21"/>
                <w:u w:val="none"/>
                <w:lang w:val="en-US" w:eastAsia="zh-CN" w:bidi="ar"/>
              </w:rPr>
              <w:t>亿利达员工疗休养人数分档统计（不含家属）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16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档次</w:t>
            </w:r>
          </w:p>
        </w:tc>
        <w:tc>
          <w:tcPr>
            <w:tcW w:w="15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天数</w:t>
            </w:r>
          </w:p>
        </w:tc>
        <w:tc>
          <w:tcPr>
            <w:tcW w:w="20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标准（元/人）</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16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第一档</w:t>
            </w:r>
          </w:p>
        </w:tc>
        <w:tc>
          <w:tcPr>
            <w:tcW w:w="15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5天4晚</w:t>
            </w:r>
          </w:p>
        </w:tc>
        <w:tc>
          <w:tcPr>
            <w:tcW w:w="20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3000</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16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第二档</w:t>
            </w:r>
          </w:p>
        </w:tc>
        <w:tc>
          <w:tcPr>
            <w:tcW w:w="15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3天2晚</w:t>
            </w:r>
          </w:p>
        </w:tc>
        <w:tc>
          <w:tcPr>
            <w:tcW w:w="20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1500</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6" w:hRule="atLeast"/>
        </w:trPr>
        <w:tc>
          <w:tcPr>
            <w:tcW w:w="16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第三档</w:t>
            </w:r>
          </w:p>
        </w:tc>
        <w:tc>
          <w:tcPr>
            <w:tcW w:w="15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2天1晚</w:t>
            </w:r>
          </w:p>
        </w:tc>
        <w:tc>
          <w:tcPr>
            <w:tcW w:w="20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800</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166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第四档</w:t>
            </w:r>
          </w:p>
        </w:tc>
        <w:tc>
          <w:tcPr>
            <w:tcW w:w="15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1天</w:t>
            </w:r>
          </w:p>
        </w:tc>
        <w:tc>
          <w:tcPr>
            <w:tcW w:w="208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400</w:t>
            </w: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trPr>
        <w:tc>
          <w:tcPr>
            <w:tcW w:w="166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w:t>
            </w:r>
          </w:p>
        </w:tc>
        <w:tc>
          <w:tcPr>
            <w:tcW w:w="154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b/>
                <w:i w:val="0"/>
                <w:color w:val="000000"/>
                <w:sz w:val="21"/>
                <w:szCs w:val="21"/>
                <w:u w:val="none"/>
              </w:rPr>
            </w:pPr>
          </w:p>
        </w:tc>
        <w:tc>
          <w:tcPr>
            <w:tcW w:w="208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b/>
                <w:i w:val="0"/>
                <w:color w:val="000000"/>
                <w:sz w:val="21"/>
                <w:szCs w:val="21"/>
                <w:u w:val="none"/>
              </w:rPr>
            </w:pPr>
          </w:p>
        </w:tc>
        <w:tc>
          <w:tcPr>
            <w:tcW w:w="23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i w:val="0"/>
                <w:color w:val="FF0000"/>
                <w:sz w:val="21"/>
                <w:szCs w:val="21"/>
                <w:u w:val="none"/>
              </w:rPr>
            </w:pPr>
            <w:r>
              <w:rPr>
                <w:rFonts w:hint="eastAsia" w:ascii="宋体" w:hAnsi="宋体" w:eastAsia="宋体" w:cs="宋体"/>
                <w:b/>
                <w:i w:val="0"/>
                <w:color w:val="FF0000"/>
                <w:kern w:val="0"/>
                <w:sz w:val="21"/>
                <w:szCs w:val="21"/>
                <w:u w:val="none"/>
                <w:lang w:val="en-US" w:eastAsia="zh-CN" w:bidi="ar"/>
              </w:rPr>
              <w:t>1082</w:t>
            </w:r>
          </w:p>
        </w:tc>
      </w:tr>
    </w:tbl>
    <w:p>
      <w:pPr>
        <w:widowControl/>
        <w:numPr>
          <w:ilvl w:val="-1"/>
          <w:numId w:val="0"/>
        </w:numPr>
        <w:spacing w:line="360" w:lineRule="auto"/>
        <w:ind w:firstLine="420" w:firstLineChars="200"/>
        <w:jc w:val="both"/>
        <w:rPr>
          <w:rFonts w:hint="eastAsia" w:ascii="宋体" w:hAnsi="宋体" w:eastAsia="宋体" w:cs="宋体"/>
          <w:b/>
          <w:color w:val="000000" w:themeColor="text1"/>
          <w:szCs w:val="21"/>
          <w:highlight w:val="none"/>
          <w:lang w:val="en-US" w:eastAsia="zh-CN"/>
          <w14:textFill>
            <w14:solidFill>
              <w14:schemeClr w14:val="tx1"/>
            </w14:solidFill>
          </w14:textFill>
        </w:rPr>
      </w:pPr>
      <w:r>
        <w:rPr>
          <w:rFonts w:hint="eastAsia" w:ascii="宋体" w:hAnsi="宋体" w:eastAsia="宋体" w:cs="宋体"/>
          <w:b/>
          <w:color w:val="000000" w:themeColor="text1"/>
          <w:szCs w:val="21"/>
          <w:highlight w:val="none"/>
          <w:lang w:val="en-US" w:eastAsia="zh-CN"/>
          <w14:textFill>
            <w14:solidFill>
              <w14:schemeClr w14:val="tx1"/>
            </w14:solidFill>
          </w14:textFill>
        </w:rPr>
        <w:t>注：</w:t>
      </w:r>
    </w:p>
    <w:p>
      <w:pPr>
        <w:widowControl/>
        <w:numPr>
          <w:ilvl w:val="0"/>
          <w:numId w:val="0"/>
        </w:numPr>
        <w:tabs>
          <w:tab w:val="left" w:pos="312"/>
        </w:tabs>
        <w:spacing w:line="360" w:lineRule="auto"/>
        <w:ind w:firstLine="420" w:firstLineChars="200"/>
        <w:jc w:val="both"/>
        <w:rPr>
          <w:rFonts w:hint="eastAsia" w:ascii="宋体" w:hAnsi="宋体" w:eastAsia="宋体" w:cs="宋体"/>
          <w:b/>
          <w:color w:val="000000" w:themeColor="text1"/>
          <w:szCs w:val="21"/>
          <w:highlight w:val="none"/>
          <w:lang w:val="en-US" w:eastAsia="zh-CN"/>
          <w14:textFill>
            <w14:solidFill>
              <w14:schemeClr w14:val="tx1"/>
            </w14:solidFill>
          </w14:textFill>
        </w:rPr>
      </w:pPr>
      <w:r>
        <w:rPr>
          <w:rFonts w:hint="eastAsia" w:ascii="宋体" w:hAnsi="宋体" w:eastAsia="宋体" w:cs="宋体"/>
          <w:b/>
          <w:color w:val="000000" w:themeColor="text1"/>
          <w:szCs w:val="21"/>
          <w:highlight w:val="none"/>
          <w:lang w:val="en-US" w:eastAsia="zh-CN"/>
          <w14:textFill>
            <w14:solidFill>
              <w14:schemeClr w14:val="tx1"/>
            </w14:solidFill>
          </w14:textFill>
        </w:rPr>
        <w:t>①上述人员统计仅为公司符合疗休养标准的人员统计，实际疗休养时可能存在差异，实际参与疗休养人数以最终成行总人数为准（供应商提供各团成员成行签名单），上述人数不包含家属人数；</w:t>
      </w:r>
    </w:p>
    <w:p>
      <w:pPr>
        <w:widowControl/>
        <w:numPr>
          <w:ilvl w:val="0"/>
          <w:numId w:val="0"/>
        </w:numPr>
        <w:tabs>
          <w:tab w:val="left" w:pos="312"/>
        </w:tabs>
        <w:spacing w:line="360" w:lineRule="auto"/>
        <w:ind w:firstLine="420" w:firstLineChars="200"/>
        <w:jc w:val="both"/>
        <w:rPr>
          <w:rFonts w:hint="eastAsia" w:ascii="宋体" w:hAnsi="宋体" w:eastAsia="宋体" w:cs="宋体"/>
          <w:b/>
          <w:color w:val="000000" w:themeColor="text1"/>
          <w:szCs w:val="21"/>
          <w:highlight w:val="none"/>
          <w:lang w:val="en-US" w:eastAsia="zh-CN"/>
          <w14:textFill>
            <w14:solidFill>
              <w14:schemeClr w14:val="tx1"/>
            </w14:solidFill>
          </w14:textFill>
        </w:rPr>
      </w:pPr>
      <w:r>
        <w:rPr>
          <w:rFonts w:hint="eastAsia" w:ascii="宋体" w:hAnsi="宋体" w:eastAsia="宋体" w:cs="宋体"/>
          <w:b/>
          <w:color w:val="000000" w:themeColor="text1"/>
          <w:szCs w:val="21"/>
          <w:highlight w:val="none"/>
          <w:lang w:val="en-US" w:eastAsia="zh-CN"/>
          <w14:textFill>
            <w14:solidFill>
              <w14:schemeClr w14:val="tx1"/>
            </w14:solidFill>
          </w14:textFill>
        </w:rPr>
        <w:t>②上述疗休养分档仅为公司内部标准，其中第一档允许供应商制作方案时适当上浮天数及标准（详见下文3.本次疗休养的线路），但疗休养最长不得超过9天，费用超出3000元标准部分由供应商与员工个人自行结算；</w:t>
      </w:r>
    </w:p>
    <w:p>
      <w:pPr>
        <w:widowControl/>
        <w:numPr>
          <w:ilvl w:val="0"/>
          <w:numId w:val="0"/>
        </w:numPr>
        <w:tabs>
          <w:tab w:val="left" w:pos="312"/>
        </w:tabs>
        <w:spacing w:line="360" w:lineRule="auto"/>
        <w:ind w:firstLine="420" w:firstLineChars="200"/>
        <w:jc w:val="both"/>
        <w:rPr>
          <w:rFonts w:hint="default" w:ascii="宋体" w:hAnsi="宋体" w:eastAsia="宋体" w:cs="宋体"/>
          <w:b/>
          <w:color w:val="000000" w:themeColor="text1"/>
          <w:szCs w:val="21"/>
          <w:highlight w:val="none"/>
          <w:lang w:val="en-US" w:eastAsia="zh-CN"/>
          <w14:textFill>
            <w14:solidFill>
              <w14:schemeClr w14:val="tx1"/>
            </w14:solidFill>
          </w14:textFill>
        </w:rPr>
      </w:pPr>
      <w:r>
        <w:rPr>
          <w:rFonts w:hint="eastAsia" w:ascii="宋体" w:hAnsi="宋体" w:eastAsia="宋体" w:cs="宋体"/>
          <w:b/>
          <w:color w:val="000000" w:themeColor="text1"/>
          <w:szCs w:val="21"/>
          <w:highlight w:val="none"/>
          <w:lang w:val="en-US" w:eastAsia="zh-CN"/>
          <w14:textFill>
            <w14:solidFill>
              <w14:schemeClr w14:val="tx1"/>
            </w14:solidFill>
          </w14:textFill>
        </w:rPr>
        <w:t>③上述每档人数分布为标准内人数分布，根据公司内部政策，允许员工升档或降档。</w:t>
      </w:r>
    </w:p>
    <w:p>
      <w:pPr>
        <w:widowControl/>
        <w:numPr>
          <w:ilvl w:val="0"/>
          <w:numId w:val="52"/>
        </w:numPr>
        <w:spacing w:line="360" w:lineRule="auto"/>
        <w:ind w:firstLine="420" w:firstLineChars="200"/>
        <w:jc w:val="both"/>
        <w:rPr>
          <w:rFonts w:hint="eastAsia" w:ascii="宋体" w:hAnsi="宋体" w:eastAsia="宋体" w:cs="宋体"/>
          <w:b/>
          <w:color w:val="auto"/>
          <w:szCs w:val="21"/>
          <w:highlight w:val="none"/>
          <w:lang w:val="en-US" w:eastAsia="zh-CN"/>
        </w:rPr>
      </w:pPr>
      <w:r>
        <w:rPr>
          <w:rFonts w:hint="eastAsia" w:ascii="宋体" w:hAnsi="宋体" w:eastAsia="宋体" w:cs="宋体"/>
          <w:b/>
          <w:color w:val="auto"/>
          <w:szCs w:val="21"/>
          <w:highlight w:val="none"/>
          <w:lang w:val="en-US" w:eastAsia="zh-CN"/>
        </w:rPr>
        <w:t>本次疗休养线路分别是：</w:t>
      </w:r>
    </w:p>
    <w:tbl>
      <w:tblPr>
        <w:tblStyle w:val="48"/>
        <w:tblW w:w="8571"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1"/>
        <w:gridCol w:w="4113"/>
        <w:gridCol w:w="1265"/>
        <w:gridCol w:w="24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5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5日游及以上疗休养线路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ind w:left="0" w:leftChars="0" w:firstLine="0" w:firstLineChars="0"/>
              <w:jc w:val="center"/>
              <w:rPr>
                <w:rFonts w:hint="eastAsia" w:ascii="宋体" w:hAnsi="宋体" w:eastAsia="宋体" w:cs="宋体"/>
                <w:b/>
                <w:bCs/>
                <w:sz w:val="21"/>
                <w:szCs w:val="21"/>
                <w:lang w:val="en-US" w:eastAsia="zh-CN" w:bidi="ar-SA"/>
              </w:rPr>
            </w:pPr>
            <w:r>
              <w:rPr>
                <w:rFonts w:hint="eastAsia" w:ascii="宋体" w:hAnsi="宋体" w:eastAsia="宋体" w:cs="宋体"/>
                <w:b/>
                <w:bCs/>
                <w:sz w:val="21"/>
                <w:szCs w:val="21"/>
                <w:lang w:val="en-US" w:eastAsia="zh-CN"/>
              </w:rPr>
              <w:t>序号</w:t>
            </w:r>
          </w:p>
        </w:tc>
        <w:tc>
          <w:tcPr>
            <w:tcW w:w="411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ind w:left="0" w:leftChars="0" w:firstLine="0" w:firstLineChars="0"/>
              <w:jc w:val="center"/>
              <w:rPr>
                <w:rFonts w:hint="eastAsia" w:ascii="宋体" w:hAnsi="宋体" w:eastAsia="宋体" w:cs="宋体"/>
                <w:b/>
                <w:bCs/>
                <w:sz w:val="21"/>
                <w:szCs w:val="21"/>
                <w:lang w:val="en-US" w:eastAsia="zh-CN" w:bidi="ar-SA"/>
              </w:rPr>
            </w:pPr>
            <w:r>
              <w:rPr>
                <w:rFonts w:hint="eastAsia" w:ascii="宋体" w:hAnsi="宋体" w:eastAsia="宋体" w:cs="宋体"/>
                <w:b/>
                <w:bCs/>
                <w:sz w:val="21"/>
                <w:szCs w:val="21"/>
                <w:lang w:val="en-US" w:eastAsia="zh-CN"/>
              </w:rPr>
              <w:t>5日游及以上线路</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ind w:left="0" w:leftChars="0" w:firstLine="0" w:firstLineChars="0"/>
              <w:jc w:val="center"/>
              <w:rPr>
                <w:rFonts w:hint="eastAsia" w:ascii="宋体" w:hAnsi="宋体" w:eastAsia="宋体" w:cs="宋体"/>
                <w:b/>
                <w:bCs/>
                <w:sz w:val="21"/>
                <w:szCs w:val="21"/>
                <w:lang w:val="en-US" w:eastAsia="zh-CN" w:bidi="ar-SA"/>
              </w:rPr>
            </w:pPr>
            <w:r>
              <w:rPr>
                <w:rFonts w:hint="eastAsia" w:ascii="宋体" w:hAnsi="宋体" w:eastAsia="宋体" w:cs="宋体"/>
                <w:b/>
                <w:bCs/>
                <w:sz w:val="21"/>
                <w:szCs w:val="21"/>
                <w:lang w:val="en-US" w:eastAsia="zh-CN"/>
              </w:rPr>
              <w:t>天数</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ind w:left="0" w:leftChars="0" w:firstLine="0" w:firstLineChars="0"/>
              <w:jc w:val="center"/>
              <w:rPr>
                <w:rFonts w:hint="eastAsia" w:ascii="宋体" w:hAnsi="宋体" w:eastAsia="宋体" w:cs="宋体"/>
                <w:b/>
                <w:bCs/>
                <w:sz w:val="21"/>
                <w:szCs w:val="21"/>
                <w:lang w:val="en-US" w:eastAsia="zh-CN" w:bidi="ar-SA"/>
              </w:rPr>
            </w:pPr>
            <w:r>
              <w:rPr>
                <w:rFonts w:hint="eastAsia" w:ascii="宋体" w:hAnsi="宋体" w:eastAsia="宋体" w:cs="宋体"/>
                <w:b/>
                <w:bCs/>
                <w:sz w:val="21"/>
                <w:szCs w:val="21"/>
                <w:lang w:val="en-US" w:eastAsia="zh-CN"/>
              </w:rPr>
              <w:t>最高限价（单价）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吉林通化、长白山双飞</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5-6日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不设限价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成都、康定、稻城</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5-7日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不设限价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拉萨、雅鲁藏布大峡谷、那曲纳木错、林芝</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7-9日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不设限价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大美新疆</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7-9日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不设限价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青海茶卡卓尔山贵德</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7-9日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不设限价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凝巴风渝韵、聚都市繁华</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5-6日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不设限价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成都、阆中、四姑娘山</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5-6日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不设限价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南京苏州无锡5日游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最高限价3000元/人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厦门漳州泉州5日游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最高限价3000元/人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潮汕5日游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最高限价3000元/人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57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3日游疗休养线路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序号</w:t>
            </w:r>
          </w:p>
        </w:tc>
        <w:tc>
          <w:tcPr>
            <w:tcW w:w="411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3日游线路</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天数</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最高限价（单价）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上海迪士尼3日游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最高限价1500元/人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福州平潭3日游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最高限价1500元/人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厦门3日游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最高限价1500元/人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千岛湖3日游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最高限价1500元/人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黄山徽州3日游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最高限价1500元/人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湖州龙之梦3日游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最高限价1500元/人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三清山景德镇3日游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最高限价1500元/人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南京无锡苏州3日游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最高限价1500元/人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嵊泗普陀3日游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最高限价1500元/人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textAlignment w:val="center"/>
              <w:rPr>
                <w:rFonts w:hint="eastAsia" w:ascii="宋体" w:hAnsi="宋体" w:eastAsia="宋体" w:cs="宋体"/>
                <w:sz w:val="21"/>
                <w:szCs w:val="21"/>
                <w:lang w:val="en-US" w:eastAsia="zh-CN"/>
              </w:rPr>
            </w:pPr>
            <w:r>
              <w:rPr>
                <w:rFonts w:hint="eastAsia" w:ascii="宋体" w:hAnsi="宋体" w:eastAsia="宋体" w:cs="宋体"/>
                <w:i w:val="0"/>
                <w:iCs w:val="0"/>
                <w:color w:val="000000"/>
                <w:kern w:val="0"/>
                <w:sz w:val="21"/>
                <w:szCs w:val="21"/>
                <w:u w:val="none"/>
                <w:lang w:val="en-US" w:eastAsia="zh-CN" w:bidi="ar"/>
              </w:rPr>
              <w:t>嘉兴杭州3日游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最高限价1500元/人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857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2日游疗休养线路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序号</w:t>
            </w:r>
          </w:p>
        </w:tc>
        <w:tc>
          <w:tcPr>
            <w:tcW w:w="411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2日游线路</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天数</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最高限价（单价）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安吉2日游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最高限价800元/人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乌镇西塘2日游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最高限价800元/人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象山石浦2日游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最高限价800元/人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横店影视城2日游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最高限价800元/人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青田、景宁2日游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最高限价800元/人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大陈岛2日游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最高限价800元/人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溧阳天目湖南山竹海2日游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最高限价800元/人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千岛湖2日游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最高限价800元/人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绍兴2日游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最高限价800元/人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丽水2日游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最高限价800元/人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857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1日游疗休养线路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序号</w:t>
            </w:r>
          </w:p>
        </w:tc>
        <w:tc>
          <w:tcPr>
            <w:tcW w:w="411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1日游线路</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天数</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8"/>
              <w:numPr>
                <w:ilvl w:val="-1"/>
                <w:numId w:val="0"/>
              </w:num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最高限价（单价）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神仙居1日游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最高限价400元/人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蛇蟠岛、潘家小镇1日游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最高限价400元/人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台州方特1日游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最高限价400元/人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宋城1日游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最高限价400元/人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楠溪江1日游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最高限价400元/人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兰溪诸葛八卦村1日游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最高限价400元/人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鲁迅故里1日游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最高限价400元/人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缙云仙都1日游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最高限价400元/人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江南长城、东湖1日游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最高限价400元/人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72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w:t>
            </w:r>
          </w:p>
        </w:tc>
        <w:tc>
          <w:tcPr>
            <w:tcW w:w="4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雁荡山1日游</w:t>
            </w:r>
          </w:p>
        </w:tc>
        <w:tc>
          <w:tcPr>
            <w:tcW w:w="12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1日</w:t>
            </w:r>
          </w:p>
        </w:tc>
        <w:tc>
          <w:tcPr>
            <w:tcW w:w="2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58"/>
              <w:numPr>
                <w:ilvl w:val="-1"/>
                <w:numId w:val="0"/>
              </w:num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最高限价400元/人</w:t>
            </w:r>
          </w:p>
        </w:tc>
      </w:tr>
    </w:tbl>
    <w:p>
      <w:pPr>
        <w:pStyle w:val="58"/>
        <w:numPr>
          <w:ilvl w:val="-1"/>
          <w:numId w:val="0"/>
        </w:numPr>
        <w:ind w:firstLine="420" w:firstLineChars="200"/>
        <w:rPr>
          <w:rFonts w:hint="eastAsia" w:cs="宋体"/>
          <w:b/>
          <w:color w:val="000000" w:themeColor="text1"/>
          <w:kern w:val="2"/>
          <w:sz w:val="21"/>
          <w:szCs w:val="21"/>
          <w:highlight w:val="none"/>
          <w:lang w:val="en-US" w:eastAsia="zh-CN"/>
          <w14:textFill>
            <w14:solidFill>
              <w14:schemeClr w14:val="tx1"/>
            </w14:solidFill>
          </w14:textFill>
        </w:rPr>
      </w:pPr>
      <w:r>
        <w:rPr>
          <w:rFonts w:hint="eastAsia" w:cs="宋体"/>
          <w:b/>
          <w:color w:val="000000" w:themeColor="text1"/>
          <w:kern w:val="2"/>
          <w:sz w:val="21"/>
          <w:szCs w:val="21"/>
          <w:highlight w:val="none"/>
          <w:lang w:val="en-US" w:eastAsia="zh-CN"/>
          <w14:textFill>
            <w14:solidFill>
              <w14:schemeClr w14:val="tx1"/>
            </w14:solidFill>
          </w14:textFill>
        </w:rPr>
        <w:t>注：</w:t>
      </w:r>
    </w:p>
    <w:p>
      <w:pPr>
        <w:widowControl/>
        <w:numPr>
          <w:ilvl w:val="-1"/>
          <w:numId w:val="0"/>
        </w:numPr>
        <w:spacing w:line="360" w:lineRule="auto"/>
        <w:ind w:firstLine="420" w:firstLineChars="200"/>
        <w:jc w:val="left"/>
        <w:rPr>
          <w:rFonts w:hint="eastAsia" w:ascii="宋体" w:hAnsi="宋体" w:eastAsia="宋体" w:cs="宋体"/>
          <w:b/>
          <w:color w:val="000000" w:themeColor="text1"/>
          <w:sz w:val="21"/>
          <w:szCs w:val="21"/>
          <w:highlight w:val="none"/>
          <w:lang w:val="en-US" w:eastAsia="zh-CN"/>
          <w14:textFill>
            <w14:solidFill>
              <w14:schemeClr w14:val="tx1"/>
            </w14:solidFill>
          </w14:textFill>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①上述路线均为预选，服务供应商需自行承担服务业务数量不确定的风险，规划路线时应做充分考虑，省内、省外线路最低成团人数25人，特色线路最低成团人数协商确定。如疗休养政策变化，最终实际路线的调整须根据政策情况，由中标人与招标人协商后确定。如实际出行人数未达到最低成团标准的，双方可另行协商调整线路或拼团出行。</w:t>
      </w:r>
    </w:p>
    <w:p>
      <w:pPr>
        <w:widowControl/>
        <w:numPr>
          <w:ilvl w:val="0"/>
          <w:numId w:val="0"/>
        </w:numPr>
        <w:spacing w:line="360" w:lineRule="auto"/>
        <w:ind w:firstLine="420" w:firstLineChars="200"/>
        <w:jc w:val="left"/>
        <w:rPr>
          <w:rFonts w:hint="eastAsia"/>
          <w:lang w:val="en-US" w:eastAsia="zh-CN"/>
        </w:rPr>
      </w:pPr>
      <w:r>
        <w:rPr>
          <w:rFonts w:hint="eastAsia" w:ascii="宋体" w:hAnsi="宋体" w:eastAsia="宋体" w:cs="宋体"/>
          <w:b/>
          <w:color w:val="000000" w:themeColor="text1"/>
          <w:sz w:val="21"/>
          <w:szCs w:val="21"/>
          <w:highlight w:val="none"/>
          <w:lang w:val="en-US" w:eastAsia="zh-CN"/>
          <w14:textFill>
            <w14:solidFill>
              <w14:schemeClr w14:val="tx1"/>
            </w14:solidFill>
          </w14:textFill>
        </w:rPr>
        <w:t>②供应商在制作投标文件时，需在上述线路中每档选择5-7条线路进行方案规划及报价，同时供应商应当提供2条特色线路，并符合上级文件要求。</w:t>
      </w:r>
    </w:p>
    <w:p>
      <w:pPr>
        <w:pStyle w:val="6"/>
        <w:numPr>
          <w:ilvl w:val="0"/>
          <w:numId w:val="51"/>
        </w:numPr>
        <w:ind w:firstLine="420" w:firstLineChars="0"/>
        <w:rPr>
          <w:rFonts w:hint="eastAsia" w:ascii="宋体" w:hAnsi="宋体" w:eastAsia="宋体" w:cs="宋体"/>
          <w:b/>
          <w:bCs/>
          <w:sz w:val="32"/>
          <w:szCs w:val="32"/>
          <w:lang w:val="en-US" w:eastAsia="zh-CN"/>
        </w:rPr>
      </w:pPr>
      <w:bookmarkStart w:id="378" w:name="_Toc17896"/>
      <w:bookmarkStart w:id="379" w:name="_Toc24413"/>
      <w:bookmarkStart w:id="380" w:name="_Toc31507"/>
      <w:bookmarkStart w:id="381" w:name="_Toc10025"/>
      <w:bookmarkStart w:id="382" w:name="_Toc32180"/>
      <w:bookmarkStart w:id="383" w:name="_Toc13481"/>
      <w:bookmarkStart w:id="384" w:name="_Toc22657"/>
      <w:bookmarkStart w:id="385" w:name="_Toc10244"/>
      <w:r>
        <w:rPr>
          <w:rFonts w:hint="eastAsia" w:ascii="宋体" w:hAnsi="宋体" w:cs="宋体"/>
          <w:b/>
          <w:bCs/>
          <w:sz w:val="32"/>
          <w:szCs w:val="32"/>
          <w:lang w:val="en-US" w:eastAsia="zh-CN"/>
        </w:rPr>
        <w:t>服务</w:t>
      </w:r>
      <w:r>
        <w:rPr>
          <w:rFonts w:hint="eastAsia" w:ascii="宋体" w:hAnsi="宋体" w:eastAsia="宋体" w:cs="宋体"/>
          <w:b/>
          <w:bCs/>
          <w:sz w:val="32"/>
          <w:szCs w:val="32"/>
          <w:lang w:val="en-US" w:eastAsia="zh-CN"/>
        </w:rPr>
        <w:t>要求</w:t>
      </w:r>
      <w:bookmarkEnd w:id="378"/>
      <w:bookmarkEnd w:id="379"/>
      <w:bookmarkEnd w:id="380"/>
      <w:bookmarkEnd w:id="381"/>
      <w:bookmarkEnd w:id="382"/>
      <w:bookmarkEnd w:id="383"/>
      <w:bookmarkEnd w:id="384"/>
      <w:bookmarkEnd w:id="385"/>
    </w:p>
    <w:p>
      <w:pPr>
        <w:pStyle w:val="57"/>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1、保险：疗休养费用中包含必须为疗休养职工购买具有一定抵抗风险的商业保险，需包括旅行社责任险（保额不低于100万元/人）、职工疗休养专用意外保险（保额不低于100万元/人）；</w:t>
      </w:r>
    </w:p>
    <w:p>
      <w:pPr>
        <w:pStyle w:val="57"/>
        <w:spacing w:line="360" w:lineRule="auto"/>
        <w:ind w:firstLine="420" w:firstLineChars="20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2、酒店：住宿酒店为挂牌四星或</w:t>
      </w:r>
      <w:r>
        <w:rPr>
          <w:rFonts w:hint="eastAsia" w:ascii="宋体" w:hAnsi="宋体" w:eastAsia="宋体" w:cs="宋体"/>
          <w:sz w:val="21"/>
          <w:szCs w:val="21"/>
          <w:highlight w:val="none"/>
          <w:lang w:val="en-US" w:eastAsia="zh-CN"/>
        </w:rPr>
        <w:t>网评四星标准，如当地</w:t>
      </w:r>
      <w:r>
        <w:rPr>
          <w:rFonts w:hint="eastAsia" w:ascii="宋体" w:hAnsi="宋体" w:eastAsia="宋体" w:cs="宋体"/>
          <w:sz w:val="21"/>
          <w:szCs w:val="21"/>
          <w:lang w:val="en-US" w:eastAsia="zh-CN"/>
        </w:rPr>
        <w:t>无四星酒店需提供当地同等标准酒店。要求尽可能在同一楼层且不安排一楼或窗户朝向路边等喧闹环境的房间（民宿除外）。房间要求干净整洁，设施齐全且能正常使用，24 小时供应热水，投标人线路方案中需列出酒店名称及星级证明材料；供应商方案应列出每一线路的酒店名称、具体地点，另外若团队中出现单男单女，个人不补住房差价，由中标供应商安排并承担；个人要求单住房，需要补交个人房差价；</w:t>
      </w:r>
    </w:p>
    <w:p>
      <w:pPr>
        <w:pStyle w:val="57"/>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3、就餐安排：旅行社需按就餐标准提供餐饮服务，在当地特色饭店就餐，可采用10人一桌或自助餐的形式。入住酒店必须包含早餐，每人每天午餐餐费标准不低于为50元/人，晚餐餐费标准不低于为 70元/人，中晚餐要荤素搭配，品种丰富，配餐尽量菜品不重复，提供餐后水果（或果盘），提供多种主食可供选择。</w:t>
      </w:r>
    </w:p>
    <w:p>
      <w:pPr>
        <w:pStyle w:val="57"/>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交通：空调旅游车（包括从甲方指定地点至疗休养酒店或安排的景点、景区内交通等），空调旅游车应提供车况好（车龄不超过五年）、内饰干净、下部有行李箱的车辆，提供租用协议、行驶证或相关证明；驾驶员应具备准驾车型五年或以上驾龄，出行车辆须保证10%的空座率。如需高铁出行选择二等座，飞机出行选择经济舱（经济舱机票应当允许托运行李重量20公斤，出行不接受春秋航空）；</w:t>
      </w:r>
    </w:p>
    <w:p>
      <w:pPr>
        <w:pStyle w:val="57"/>
        <w:spacing w:line="360" w:lineRule="auto"/>
        <w:ind w:firstLine="420" w:firstLineChars="200"/>
        <w:rPr>
          <w:rFonts w:hint="eastAsia"/>
          <w:lang w:val="en-US" w:eastAsia="zh-CN"/>
        </w:rPr>
      </w:pPr>
      <w:r>
        <w:rPr>
          <w:rFonts w:hint="eastAsia" w:ascii="宋体" w:hAnsi="宋体" w:eastAsia="宋体" w:cs="宋体"/>
          <w:sz w:val="21"/>
          <w:szCs w:val="21"/>
          <w:lang w:val="en-US" w:eastAsia="zh-CN"/>
        </w:rPr>
        <w:t>5、景点：4档线路中每档任选5-7条线路，同时供应商应当提供2条特色线路（符合上级文件要求）就每天安排的景点需做完整的介绍，包括景点门票，有无自理费用，景点特色等。不得安排任何购物，或以购物为目的的推荐项目；</w:t>
      </w:r>
    </w:p>
    <w:p>
      <w:pPr>
        <w:spacing w:line="360" w:lineRule="auto"/>
        <w:ind w:firstLine="420" w:firstLineChars="200"/>
        <w:rPr>
          <w:rFonts w:hint="eastAsia" w:ascii="宋体" w:hAnsi="宋体" w:eastAsia="宋体" w:cs="宋体"/>
          <w:szCs w:val="21"/>
          <w:lang w:val="en-US" w:eastAsia="zh-CN"/>
        </w:rPr>
      </w:pPr>
      <w:r>
        <w:rPr>
          <w:rFonts w:hint="eastAsia" w:ascii="宋体" w:hAnsi="宋体" w:eastAsia="宋体" w:cs="宋体"/>
          <w:sz w:val="21"/>
          <w:szCs w:val="21"/>
          <w:lang w:val="en-US" w:eastAsia="zh-CN"/>
        </w:rPr>
        <w:t>6、针对本项目要求投标供应商拟派出的服务人员须持有导游资格证书，其它人员亦要求具有相应的执业资格；</w:t>
      </w:r>
      <w:r>
        <w:rPr>
          <w:rFonts w:hint="eastAsia" w:ascii="宋体" w:hAnsi="宋体" w:eastAsia="宋体" w:cs="宋体"/>
          <w:szCs w:val="21"/>
          <w:lang w:val="en-US" w:eastAsia="zh-CN"/>
        </w:rPr>
        <w:t>各出行团队全程配导游（每辆车配备一名），</w:t>
      </w:r>
      <w:r>
        <w:rPr>
          <w:rFonts w:hint="eastAsia" w:ascii="宋体" w:hAnsi="宋体" w:eastAsia="宋体" w:cs="宋体"/>
          <w:sz w:val="21"/>
          <w:szCs w:val="21"/>
          <w:lang w:val="en-US" w:eastAsia="zh-CN"/>
        </w:rPr>
        <w:t>投标供应商拟投入本项目在职的导游需提供正规劳动合同、社保证明和导游证，</w:t>
      </w:r>
      <w:r>
        <w:rPr>
          <w:rFonts w:hint="eastAsia" w:ascii="宋体" w:hAnsi="宋体" w:eastAsia="宋体" w:cs="宋体"/>
          <w:szCs w:val="21"/>
          <w:lang w:val="en-US" w:eastAsia="zh-CN"/>
        </w:rPr>
        <w:t>导游要求不少于三年导游经验，</w:t>
      </w:r>
      <w:r>
        <w:rPr>
          <w:rFonts w:hint="eastAsia" w:ascii="宋体" w:hAnsi="宋体" w:eastAsia="宋体" w:cs="宋体"/>
          <w:sz w:val="21"/>
          <w:szCs w:val="21"/>
          <w:lang w:val="en-US" w:eastAsia="zh-CN"/>
        </w:rPr>
        <w:t>具备一定的资历资格和丰富的从业经验，</w:t>
      </w:r>
      <w:r>
        <w:rPr>
          <w:rFonts w:hint="eastAsia" w:ascii="宋体" w:hAnsi="宋体" w:eastAsia="宋体" w:cs="宋体"/>
          <w:szCs w:val="21"/>
          <w:lang w:val="en-US" w:eastAsia="zh-CN"/>
        </w:rPr>
        <w:t>引导、讲解景点山水、典故等，解决旅途中可能出现的突发事件，</w:t>
      </w:r>
      <w:r>
        <w:rPr>
          <w:rFonts w:hint="eastAsia" w:ascii="宋体" w:hAnsi="宋体" w:eastAsia="宋体" w:cs="宋体"/>
          <w:sz w:val="21"/>
          <w:szCs w:val="21"/>
          <w:lang w:val="en-US" w:eastAsia="zh-CN"/>
        </w:rPr>
        <w:t>根据招标人要求及时调整方案并获得招标人认可，</w:t>
      </w:r>
      <w:r>
        <w:rPr>
          <w:rFonts w:hint="eastAsia" w:ascii="宋体" w:hAnsi="宋体" w:eastAsia="宋体" w:cs="宋体"/>
          <w:szCs w:val="21"/>
          <w:lang w:val="en-US" w:eastAsia="zh-CN"/>
        </w:rPr>
        <w:t>并给予游客食、宿、行等方面的帮助。全陪、地陪导游要求有国导证，且全陪须为中标供应商本单位导游，不得外聘导游，如遇特殊情况需要外聘导游的，必须提前经疗休养带队领导确认；</w:t>
      </w:r>
    </w:p>
    <w:p>
      <w:pPr>
        <w:pStyle w:val="57"/>
        <w:spacing w:line="360" w:lineRule="auto"/>
        <w:ind w:firstLine="0" w:firstLineChars="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 xml:space="preserve">    7、投标供应商须近两年内无旅游安全责任事故，未受到旅游、工商、物价、交通等相关部门的行政处罚，无重大旅游投诉、行业通报，无影响面较大的负面报道的经营服务单位；投标供应商须无因民事经济、合同纠纷被法院冻结或划拨旅游质保金的现象，且无拖欠款行为的举报；</w:t>
      </w:r>
    </w:p>
    <w:p>
      <w:pPr>
        <w:pStyle w:val="57"/>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8、服务期：3年（2024年-2026年），在服务期间，如果合作单位不能满足招标方要求，职工疗休养服务评分反馈表超过一次以上评价标准为不合格，招标方有权取消本次合作单位之后的线路招标资格；</w:t>
      </w:r>
    </w:p>
    <w:p>
      <w:pPr>
        <w:pStyle w:val="57"/>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9、本项目不得以任何理由、任何形式进行转、分包，一经发现招标人可单方面解除合同，所造成的任何损失由合作供应商自行负责；</w:t>
      </w:r>
    </w:p>
    <w:p>
      <w:pPr>
        <w:adjustRightInd/>
        <w:snapToGrid/>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10、出行人数存在不确定性，最终费用按实际出发人数，按实结算；</w:t>
      </w:r>
    </w:p>
    <w:p>
      <w:pPr>
        <w:adjustRightInd/>
        <w:snapToGrid/>
        <w:spacing w:line="360" w:lineRule="auto"/>
        <w:ind w:firstLine="420" w:firstLineChars="200"/>
        <w:rPr>
          <w:rFonts w:hint="eastAsia" w:ascii="宋体" w:hAnsi="宋体" w:eastAsia="宋体" w:cs="宋体"/>
          <w:snapToGrid w:val="0"/>
          <w:color w:val="000000" w:themeColor="text1"/>
          <w:kern w:val="0"/>
          <w:szCs w:val="21"/>
          <w:lang w:eastAsia="zh-CN"/>
          <w14:textFill>
            <w14:solidFill>
              <w14:schemeClr w14:val="tx1"/>
            </w14:solidFill>
          </w14:textFill>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11.</w:t>
      </w:r>
      <w:r>
        <w:rPr>
          <w:rFonts w:hint="eastAsia" w:ascii="宋体" w:hAnsi="宋体" w:eastAsia="宋体" w:cs="宋体"/>
          <w:snapToGrid w:val="0"/>
          <w:color w:val="000000" w:themeColor="text1"/>
          <w:kern w:val="0"/>
          <w:szCs w:val="21"/>
          <w14:textFill>
            <w14:solidFill>
              <w14:schemeClr w14:val="tx1"/>
            </w14:solidFill>
          </w14:textFill>
        </w:rPr>
        <w:t>疗休养费用具体包含食、宿、行、导游、保险等费用，其他因活动单位原因产生的费用按实结算，以</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招标人确认</w:t>
      </w:r>
      <w:r>
        <w:rPr>
          <w:rFonts w:hint="eastAsia" w:ascii="宋体" w:hAnsi="宋体" w:eastAsia="宋体" w:cs="宋体"/>
          <w:snapToGrid w:val="0"/>
          <w:color w:val="000000" w:themeColor="text1"/>
          <w:kern w:val="0"/>
          <w:szCs w:val="21"/>
          <w14:textFill>
            <w14:solidFill>
              <w14:schemeClr w14:val="tx1"/>
            </w14:solidFill>
          </w14:textFill>
        </w:rPr>
        <w:t>的清单为核算依据</w:t>
      </w:r>
      <w:r>
        <w:rPr>
          <w:rFonts w:hint="eastAsia" w:ascii="宋体" w:hAnsi="宋体" w:eastAsia="宋体" w:cs="宋体"/>
          <w:snapToGrid w:val="0"/>
          <w:color w:val="000000" w:themeColor="text1"/>
          <w:kern w:val="0"/>
          <w:szCs w:val="21"/>
          <w:lang w:eastAsia="zh-CN"/>
          <w14:textFill>
            <w14:solidFill>
              <w14:schemeClr w14:val="tx1"/>
            </w14:solidFill>
          </w14:textFill>
        </w:rPr>
        <w:t>；</w:t>
      </w:r>
    </w:p>
    <w:p>
      <w:pPr>
        <w:adjustRightInd w:val="0"/>
        <w:snapToGrid w:val="0"/>
        <w:spacing w:line="360" w:lineRule="auto"/>
        <w:ind w:firstLine="420" w:firstLineChars="200"/>
        <w:rPr>
          <w:rFonts w:hint="default"/>
          <w:lang w:val="en-US" w:eastAsia="zh-CN"/>
        </w:rPr>
      </w:pPr>
      <w:r>
        <w:rPr>
          <w:rFonts w:hint="eastAsia" w:ascii="宋体" w:hAnsi="宋体" w:eastAsia="宋体" w:cs="宋体"/>
          <w:snapToGrid w:val="0"/>
          <w:color w:val="000000" w:themeColor="text1"/>
          <w:kern w:val="0"/>
          <w:szCs w:val="21"/>
          <w:lang w:val="en-US" w:eastAsia="zh-CN"/>
          <w14:textFill>
            <w14:solidFill>
              <w14:schemeClr w14:val="tx1"/>
            </w14:solidFill>
          </w14:textFill>
        </w:rPr>
        <w:t>1</w:t>
      </w:r>
      <w:r>
        <w:rPr>
          <w:rFonts w:hint="eastAsia" w:ascii="宋体" w:hAnsi="宋体" w:eastAsia="宋体" w:cs="宋体"/>
          <w:snapToGrid w:val="0"/>
          <w:color w:val="000000" w:themeColor="text1"/>
          <w:kern w:val="0"/>
          <w:szCs w:val="21"/>
          <w14:textFill>
            <w14:solidFill>
              <w14:schemeClr w14:val="tx1"/>
            </w14:solidFill>
          </w14:textFill>
        </w:rPr>
        <w:t>2、疗休养消费费用由</w:t>
      </w:r>
      <w:r>
        <w:rPr>
          <w:rFonts w:hint="default" w:ascii="宋体" w:hAnsi="宋体" w:eastAsia="宋体" w:cs="宋体"/>
          <w:snapToGrid w:val="0"/>
          <w:color w:val="000000" w:themeColor="text1"/>
          <w:kern w:val="0"/>
          <w:szCs w:val="21"/>
          <w:lang w:val="en-US" w:eastAsia="zh-CN"/>
          <w14:textFill>
            <w14:solidFill>
              <w14:schemeClr w14:val="tx1"/>
            </w14:solidFill>
          </w14:textFill>
        </w:rPr>
        <w:t>中标人</w:t>
      </w:r>
      <w:r>
        <w:rPr>
          <w:rFonts w:hint="eastAsia" w:ascii="宋体" w:hAnsi="宋体" w:eastAsia="宋体" w:cs="宋体"/>
          <w:snapToGrid w:val="0"/>
          <w:color w:val="000000" w:themeColor="text1"/>
          <w:kern w:val="0"/>
          <w:szCs w:val="21"/>
          <w14:textFill>
            <w14:solidFill>
              <w14:schemeClr w14:val="tx1"/>
            </w14:solidFill>
          </w14:textFill>
        </w:rPr>
        <w:t>先行垫支，疗休养结束后，</w:t>
      </w:r>
      <w:r>
        <w:rPr>
          <w:rFonts w:hint="eastAsia" w:ascii="宋体" w:hAnsi="宋体" w:eastAsia="宋体" w:cs="宋体"/>
          <w:snapToGrid w:val="0"/>
          <w:color w:val="000000" w:themeColor="text1"/>
          <w:kern w:val="0"/>
          <w:szCs w:val="21"/>
          <w:lang w:val="en-US" w:eastAsia="zh-CN"/>
          <w14:textFill>
            <w14:solidFill>
              <w14:schemeClr w14:val="tx1"/>
            </w14:solidFill>
          </w14:textFill>
        </w:rPr>
        <w:t>中标人</w:t>
      </w:r>
      <w:r>
        <w:rPr>
          <w:rFonts w:hint="eastAsia" w:ascii="宋体" w:hAnsi="宋体" w:eastAsia="宋体" w:cs="宋体"/>
          <w:snapToGrid w:val="0"/>
          <w:color w:val="000000" w:themeColor="text1"/>
          <w:kern w:val="0"/>
          <w:szCs w:val="21"/>
          <w14:textFill>
            <w14:solidFill>
              <w14:schemeClr w14:val="tx1"/>
            </w14:solidFill>
          </w14:textFill>
        </w:rPr>
        <w:t>向</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招标人</w:t>
      </w:r>
      <w:r>
        <w:rPr>
          <w:rFonts w:hint="eastAsia" w:ascii="宋体" w:hAnsi="宋体" w:eastAsia="宋体" w:cs="宋体"/>
          <w:snapToGrid w:val="0"/>
          <w:color w:val="000000" w:themeColor="text1"/>
          <w:kern w:val="0"/>
          <w:szCs w:val="21"/>
          <w14:textFill>
            <w14:solidFill>
              <w14:schemeClr w14:val="tx1"/>
            </w14:solidFill>
          </w14:textFill>
        </w:rPr>
        <w:t>提供正规税务发票及费用清单，</w:t>
      </w:r>
      <w:r>
        <w:rPr>
          <w:rFonts w:hint="eastAsia" w:ascii="宋体" w:hAnsi="宋体" w:eastAsia="宋体" w:cs="宋体"/>
          <w:snapToGrid w:val="0"/>
          <w:color w:val="000000" w:themeColor="text1"/>
          <w:kern w:val="0"/>
          <w:szCs w:val="21"/>
          <w:lang w:val="en-US" w:eastAsia="zh-CN"/>
          <w14:textFill>
            <w14:solidFill>
              <w14:schemeClr w14:val="tx1"/>
            </w14:solidFill>
          </w14:textFill>
        </w:rPr>
        <w:t>招标人</w:t>
      </w:r>
      <w:r>
        <w:rPr>
          <w:rFonts w:hint="eastAsia" w:ascii="宋体" w:hAnsi="宋体" w:eastAsia="宋体" w:cs="宋体"/>
          <w:snapToGrid w:val="0"/>
          <w:color w:val="000000" w:themeColor="text1"/>
          <w:kern w:val="0"/>
          <w:szCs w:val="21"/>
          <w14:textFill>
            <w14:solidFill>
              <w14:schemeClr w14:val="tx1"/>
            </w14:solidFill>
          </w14:textFill>
        </w:rPr>
        <w:t>将在</w:t>
      </w:r>
      <w:r>
        <w:rPr>
          <w:rFonts w:hint="eastAsia" w:ascii="宋体" w:hAnsi="宋体" w:eastAsia="宋体" w:cs="宋体"/>
          <w:snapToGrid w:val="0"/>
          <w:color w:val="000000" w:themeColor="text1"/>
          <w:kern w:val="0"/>
          <w:szCs w:val="21"/>
          <w:lang w:val="en-US" w:eastAsia="zh-CN"/>
          <w14:textFill>
            <w14:solidFill>
              <w14:schemeClr w14:val="tx1"/>
            </w14:solidFill>
          </w14:textFill>
        </w:rPr>
        <w:t>30</w:t>
      </w:r>
      <w:r>
        <w:rPr>
          <w:rFonts w:hint="eastAsia" w:ascii="宋体" w:hAnsi="宋体" w:eastAsia="宋体" w:cs="宋体"/>
          <w:snapToGrid w:val="0"/>
          <w:color w:val="000000" w:themeColor="text1"/>
          <w:kern w:val="0"/>
          <w:szCs w:val="21"/>
          <w14:textFill>
            <w14:solidFill>
              <w14:schemeClr w14:val="tx1"/>
            </w14:solidFill>
          </w14:textFill>
        </w:rPr>
        <w:t>个</w:t>
      </w:r>
      <w:r>
        <w:rPr>
          <w:rFonts w:hint="eastAsia" w:ascii="宋体" w:hAnsi="宋体" w:eastAsia="宋体" w:cs="宋体"/>
          <w:snapToGrid w:val="0"/>
          <w:color w:val="000000" w:themeColor="text1"/>
          <w:kern w:val="0"/>
          <w:szCs w:val="21"/>
          <w:lang w:val="en-US" w:eastAsia="zh-CN"/>
          <w14:textFill>
            <w14:solidFill>
              <w14:schemeClr w14:val="tx1"/>
            </w14:solidFill>
          </w14:textFill>
        </w:rPr>
        <w:t>工作日</w:t>
      </w:r>
      <w:r>
        <w:rPr>
          <w:rFonts w:hint="eastAsia" w:ascii="宋体" w:hAnsi="宋体" w:eastAsia="宋体" w:cs="宋体"/>
          <w:snapToGrid w:val="0"/>
          <w:color w:val="000000" w:themeColor="text1"/>
          <w:kern w:val="0"/>
          <w:szCs w:val="21"/>
          <w14:textFill>
            <w14:solidFill>
              <w14:schemeClr w14:val="tx1"/>
            </w14:solidFill>
          </w14:textFill>
        </w:rPr>
        <w:t>内办理付款手续，一次性支付疗休养费用。</w:t>
      </w:r>
    </w:p>
    <w:p>
      <w:pPr>
        <w:pStyle w:val="6"/>
        <w:numPr>
          <w:ilvl w:val="0"/>
          <w:numId w:val="51"/>
        </w:numPr>
        <w:ind w:firstLine="420"/>
        <w:rPr>
          <w:rFonts w:hint="default" w:ascii="宋体" w:hAnsi="宋体" w:eastAsia="宋体" w:cs="宋体"/>
          <w:b/>
          <w:sz w:val="32"/>
          <w:szCs w:val="32"/>
          <w:lang w:val="en-US" w:eastAsia="zh-CN"/>
        </w:rPr>
      </w:pPr>
      <w:bookmarkStart w:id="386" w:name="_Toc19682"/>
      <w:bookmarkStart w:id="387" w:name="_Toc5005"/>
      <w:bookmarkStart w:id="388" w:name="_Toc22075"/>
      <w:r>
        <w:rPr>
          <w:rFonts w:hint="default" w:ascii="宋体" w:hAnsi="宋体" w:eastAsia="宋体" w:cs="宋体"/>
          <w:b/>
          <w:sz w:val="32"/>
          <w:szCs w:val="32"/>
          <w:lang w:val="en-US" w:eastAsia="zh-CN"/>
        </w:rPr>
        <w:t>考核及其他要求</w:t>
      </w:r>
      <w:bookmarkEnd w:id="386"/>
      <w:bookmarkEnd w:id="387"/>
      <w:bookmarkEnd w:id="388"/>
    </w:p>
    <w:p>
      <w:pPr>
        <w:numPr>
          <w:ilvl w:val="0"/>
          <w:numId w:val="53"/>
        </w:numPr>
        <w:tabs>
          <w:tab w:val="left" w:pos="284"/>
        </w:tabs>
        <w:adjustRightInd/>
        <w:spacing w:line="360" w:lineRule="auto"/>
        <w:ind w:left="0" w:firstLine="420" w:firstLineChars="200"/>
        <w:rPr>
          <w:rFonts w:hint="eastAsia" w:ascii="宋体" w:hAnsi="宋体" w:eastAsia="宋体" w:cs="宋体"/>
          <w:sz w:val="21"/>
          <w:szCs w:val="21"/>
        </w:rPr>
      </w:pPr>
      <w:r>
        <w:rPr>
          <w:rFonts w:hint="eastAsia" w:ascii="宋体" w:hAnsi="宋体" w:eastAsia="宋体" w:cs="宋体"/>
          <w:sz w:val="21"/>
          <w:szCs w:val="21"/>
        </w:rPr>
        <w:t>考核方式：每次完成疗养服务回程</w:t>
      </w:r>
      <w:r>
        <w:rPr>
          <w:rFonts w:hint="eastAsia" w:ascii="宋体" w:hAnsi="宋体" w:eastAsia="宋体" w:cs="宋体"/>
          <w:sz w:val="21"/>
          <w:szCs w:val="21"/>
          <w:lang w:eastAsia="zh-CN"/>
        </w:rPr>
        <w:t>后</w:t>
      </w:r>
      <w:r>
        <w:rPr>
          <w:rFonts w:hint="eastAsia" w:ascii="宋体" w:hAnsi="宋体" w:eastAsia="宋体" w:cs="宋体"/>
          <w:sz w:val="21"/>
          <w:szCs w:val="21"/>
        </w:rPr>
        <w:t>，</w:t>
      </w:r>
      <w:r>
        <w:rPr>
          <w:rFonts w:hint="eastAsia" w:ascii="宋体" w:hAnsi="宋体" w:eastAsia="宋体" w:cs="宋体"/>
          <w:sz w:val="21"/>
          <w:szCs w:val="21"/>
          <w:lang w:eastAsia="zh-CN"/>
        </w:rPr>
        <w:t>招标人对全体参加疗休养人员</w:t>
      </w:r>
      <w:r>
        <w:rPr>
          <w:rFonts w:hint="eastAsia" w:ascii="宋体" w:hAnsi="宋体" w:eastAsia="宋体" w:cs="宋体"/>
          <w:sz w:val="21"/>
          <w:szCs w:val="21"/>
        </w:rPr>
        <w:t>发放《职工疗休养服务评分反馈表》，出行职工对本次出行计划、酒店、就餐等情况进行满意度评分并填写《职工疗休养服务评分反馈表》（</w:t>
      </w:r>
      <w:r>
        <w:rPr>
          <w:rFonts w:hint="eastAsia" w:ascii="宋体" w:hAnsi="宋体" w:eastAsia="宋体" w:cs="宋体"/>
          <w:sz w:val="21"/>
          <w:szCs w:val="21"/>
          <w:lang w:val="en-US" w:eastAsia="zh-CN"/>
        </w:rPr>
        <w:t>反馈</w:t>
      </w:r>
      <w:r>
        <w:rPr>
          <w:rFonts w:hint="eastAsia" w:ascii="宋体" w:hAnsi="宋体" w:eastAsia="宋体" w:cs="宋体"/>
          <w:sz w:val="21"/>
          <w:szCs w:val="21"/>
        </w:rPr>
        <w:t>表选项填写不全或赋分不在设定范围的无效），满意度调查结果由</w:t>
      </w:r>
      <w:r>
        <w:rPr>
          <w:rFonts w:hint="eastAsia" w:ascii="宋体" w:hAnsi="宋体" w:eastAsia="宋体" w:cs="宋体"/>
          <w:sz w:val="21"/>
          <w:szCs w:val="21"/>
          <w:lang w:eastAsia="zh-CN"/>
        </w:rPr>
        <w:t>招标人反馈给旅行社</w:t>
      </w:r>
      <w:r>
        <w:rPr>
          <w:rFonts w:hint="eastAsia" w:ascii="宋体" w:hAnsi="宋体" w:eastAsia="宋体" w:cs="宋体"/>
          <w:sz w:val="21"/>
          <w:szCs w:val="21"/>
        </w:rPr>
        <w:t>，</w:t>
      </w:r>
      <w:r>
        <w:rPr>
          <w:rFonts w:hint="eastAsia" w:ascii="宋体" w:hAnsi="宋体" w:eastAsia="宋体" w:cs="宋体"/>
          <w:sz w:val="21"/>
          <w:szCs w:val="21"/>
          <w:lang w:eastAsia="zh-CN"/>
        </w:rPr>
        <w:t>招标人将</w:t>
      </w:r>
      <w:r>
        <w:rPr>
          <w:rFonts w:hint="eastAsia" w:ascii="宋体" w:hAnsi="宋体" w:eastAsia="宋体" w:cs="宋体"/>
          <w:sz w:val="21"/>
          <w:szCs w:val="21"/>
        </w:rPr>
        <w:t>根据满意度平均分确认当次疗休养费用。</w:t>
      </w:r>
    </w:p>
    <w:p>
      <w:pPr>
        <w:numPr>
          <w:ilvl w:val="0"/>
          <w:numId w:val="53"/>
        </w:numPr>
        <w:tabs>
          <w:tab w:val="left" w:pos="284"/>
        </w:tabs>
        <w:adjustRightInd/>
        <w:spacing w:line="360" w:lineRule="auto"/>
        <w:ind w:left="0" w:firstLine="420" w:firstLineChars="200"/>
        <w:rPr>
          <w:rFonts w:hint="eastAsia" w:ascii="宋体" w:hAnsi="宋体" w:eastAsia="宋体" w:cs="宋体"/>
          <w:sz w:val="21"/>
          <w:szCs w:val="21"/>
        </w:rPr>
      </w:pPr>
      <w:r>
        <w:rPr>
          <w:rFonts w:hint="eastAsia" w:ascii="宋体" w:hAnsi="宋体" w:eastAsia="宋体" w:cs="宋体"/>
          <w:b/>
          <w:bCs/>
          <w:snapToGrid w:val="0"/>
          <w:sz w:val="21"/>
          <w:szCs w:val="21"/>
        </w:rPr>
        <w:t>考核标准：当次满意度平均分高于85分（含），支付当次疗休养费用的100%；当次满意度平均分高于75分（含）低于85分，扣减当次疗休养费用5%；当次满意度平均分低75分，扣减当次疗休养费用10%</w:t>
      </w:r>
      <w:r>
        <w:rPr>
          <w:rFonts w:hint="eastAsia" w:ascii="宋体" w:hAnsi="宋体" w:eastAsia="宋体" w:cs="宋体"/>
          <w:b/>
          <w:bCs/>
          <w:snapToGrid w:val="0"/>
          <w:sz w:val="21"/>
          <w:szCs w:val="21"/>
          <w:lang w:eastAsia="zh-CN"/>
        </w:rPr>
        <w:t>，低于60分为不合格（职工疗休养满意度测评表详见附件），本年度职工疗休养满意度测评结果综合评定为不合格的，下一年度疗休养服务合同自动终止。</w:t>
      </w:r>
    </w:p>
    <w:p>
      <w:pPr>
        <w:widowControl/>
        <w:adjustRightInd w:val="0"/>
        <w:snapToGrid w:val="0"/>
        <w:spacing w:line="480" w:lineRule="exact"/>
        <w:ind w:firstLine="567"/>
        <w:jc w:val="both"/>
        <w:rPr>
          <w:rFonts w:ascii="宋体" w:hAnsi="Times New Roman" w:eastAsia="宋体" w:cs="Times New Roman"/>
          <w:snapToGrid w:val="0"/>
          <w:color w:val="000000"/>
          <w:kern w:val="28"/>
          <w:sz w:val="28"/>
          <w:szCs w:val="20"/>
          <w:lang w:val="en-US" w:eastAsia="zh-CN" w:bidi="ar-SA"/>
        </w:rPr>
      </w:pPr>
    </w:p>
    <w:tbl>
      <w:tblPr>
        <w:tblStyle w:val="48"/>
        <w:tblW w:w="8620" w:type="dxa"/>
        <w:tblInd w:w="-1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21"/>
        <w:gridCol w:w="3811"/>
        <w:gridCol w:w="1338"/>
        <w:gridCol w:w="1000"/>
        <w:gridCol w:w="875"/>
        <w:gridCol w:w="10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8620" w:type="dxa"/>
            <w:gridSpan w:val="6"/>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职工疗休养服务评分反馈表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8620" w:type="dxa"/>
            <w:gridSpan w:val="6"/>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    感谢您对旅行社的服务情况进行评分反馈。希望您能认真、详实地填写。同时为耽误您的宝贵时间表示歉意。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8620" w:type="dxa"/>
            <w:gridSpan w:val="6"/>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    为您服务的旅行社名称：                           疗休养线路：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8620" w:type="dxa"/>
            <w:gridSpan w:val="6"/>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xml:space="preserve">    请根据您的实际感受对以下各项进行评分：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332"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评价内容</w:t>
            </w:r>
          </w:p>
        </w:tc>
        <w:tc>
          <w:tcPr>
            <w:tcW w:w="4288" w:type="dxa"/>
            <w:gridSpan w:val="4"/>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满意度评分（0-100分）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8" w:hRule="atLeast"/>
        </w:trPr>
        <w:tc>
          <w:tcPr>
            <w:tcW w:w="4332"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b/>
                <w:bCs/>
                <w:color w:val="000000"/>
                <w:kern w:val="0"/>
                <w:sz w:val="21"/>
                <w:szCs w:val="21"/>
              </w:rPr>
            </w:pP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非常满意</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满意</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一般</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b/>
                <w:bCs/>
                <w:color w:val="000000"/>
                <w:kern w:val="0"/>
                <w:sz w:val="21"/>
                <w:szCs w:val="21"/>
              </w:rPr>
            </w:pPr>
            <w:r>
              <w:rPr>
                <w:rFonts w:hint="eastAsia" w:ascii="宋体" w:hAnsi="宋体" w:eastAsia="宋体" w:cs="宋体"/>
                <w:b/>
                <w:bCs/>
                <w:color w:val="000000"/>
                <w:kern w:val="0"/>
                <w:sz w:val="21"/>
                <w:szCs w:val="21"/>
              </w:rPr>
              <w:t>不满意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332" w:type="dxa"/>
            <w:gridSpan w:val="2"/>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分值</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5</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4</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3</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交</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通</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安</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排</w:t>
            </w: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车况及性能</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到点准时</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司机态度及技术</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全程交通衔接及总体满意程度</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住</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宿</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安</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排</w:t>
            </w: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周边环境安全，客房卫生整洁</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住宿地点交通便捷</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宾馆设施及使用性能</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服务水平及态度</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住宿安排总体满意程度</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餐</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饮</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安</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排</w:t>
            </w: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就餐环境</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菜肴卫生</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餐饮安排总体满意程度</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景</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点</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安</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排</w:t>
            </w: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景点地方特色</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讲解内容完整</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讲解语言美感</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景点内时间安排合理</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导</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游</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服</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务</w:t>
            </w: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佩带有效证件上岗，全程服务不迟到早退</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无擅自增减旅游项目或擅自终止导游活动或无过度推销产品</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对可预见的情况有警示说明及防范措施</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521"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3811"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语言表达能力、沟通能力及专业知识掌握</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4332" w:type="dxa"/>
            <w:gridSpan w:val="2"/>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合计</w:t>
            </w: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trPr>
        <w:tc>
          <w:tcPr>
            <w:tcW w:w="4332" w:type="dxa"/>
            <w:gridSpan w:val="2"/>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center"/>
              <w:rPr>
                <w:rFonts w:hint="eastAsia" w:ascii="宋体" w:hAnsi="宋体" w:eastAsia="宋体" w:cs="宋体"/>
                <w:color w:val="000000"/>
                <w:kern w:val="0"/>
                <w:sz w:val="21"/>
                <w:szCs w:val="21"/>
              </w:rPr>
            </w:pPr>
          </w:p>
        </w:tc>
        <w:tc>
          <w:tcPr>
            <w:tcW w:w="133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8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c>
          <w:tcPr>
            <w:tcW w:w="1075"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8620" w:type="dxa"/>
            <w:gridSpan w:val="6"/>
            <w:tcBorders>
              <w:top w:val="single" w:color="auto" w:sz="4" w:space="0"/>
              <w:left w:val="single" w:color="auto" w:sz="4" w:space="0"/>
              <w:bottom w:val="single" w:color="auto" w:sz="4" w:space="0"/>
              <w:right w:val="single" w:color="auto" w:sz="4" w:space="0"/>
            </w:tcBorders>
            <w:noWrap w:val="0"/>
            <w:vAlign w:val="top"/>
          </w:tcPr>
          <w:p>
            <w:pPr>
              <w:widowControl/>
              <w:adjustRightInd w:val="0"/>
              <w:spacing w:before="156" w:beforeAutospacing="0" w:after="0" w:afterAutospacing="0" w:line="240" w:lineRule="auto"/>
              <w:ind w:left="0" w:right="0"/>
              <w:jc w:val="left"/>
              <w:rPr>
                <w:rFonts w:hint="eastAsia" w:ascii="宋体" w:hAnsi="宋体" w:eastAsia="宋体" w:cs="宋体"/>
                <w:color w:val="000000"/>
                <w:kern w:val="0"/>
                <w:sz w:val="21"/>
                <w:szCs w:val="21"/>
              </w:rPr>
            </w:pPr>
            <w:r>
              <w:rPr>
                <w:rFonts w:hint="eastAsia" w:ascii="宋体" w:hAnsi="宋体" w:eastAsia="宋体" w:cs="宋体"/>
                <w:color w:val="000000"/>
                <w:kern w:val="0"/>
                <w:sz w:val="21"/>
                <w:szCs w:val="21"/>
              </w:rPr>
              <w:t>您需要补充的意见和建议：</w:t>
            </w:r>
          </w:p>
        </w:tc>
      </w:tr>
    </w:tbl>
    <w:p>
      <w:pPr>
        <w:pStyle w:val="6"/>
        <w:numPr>
          <w:ilvl w:val="0"/>
          <w:numId w:val="51"/>
        </w:numPr>
        <w:ind w:firstLine="420"/>
        <w:rPr>
          <w:rFonts w:hint="default" w:ascii="宋体" w:hAnsi="宋体" w:eastAsia="宋体" w:cs="宋体"/>
          <w:b/>
          <w:sz w:val="32"/>
          <w:szCs w:val="32"/>
          <w:lang w:val="en-US" w:eastAsia="zh-CN"/>
        </w:rPr>
      </w:pPr>
      <w:bookmarkStart w:id="389" w:name="_Toc23504"/>
      <w:bookmarkStart w:id="390" w:name="_Toc31240"/>
      <w:bookmarkStart w:id="391" w:name="_Toc23806"/>
      <w:r>
        <w:rPr>
          <w:rFonts w:hint="default" w:ascii="宋体" w:hAnsi="宋体" w:eastAsia="宋体" w:cs="宋体"/>
          <w:b/>
          <w:sz w:val="32"/>
          <w:szCs w:val="32"/>
          <w:lang w:val="en-US" w:eastAsia="zh-CN"/>
        </w:rPr>
        <w:t>付款要求</w:t>
      </w:r>
      <w:bookmarkEnd w:id="389"/>
      <w:bookmarkEnd w:id="390"/>
      <w:bookmarkEnd w:id="391"/>
    </w:p>
    <w:p>
      <w:pPr>
        <w:widowControl/>
        <w:spacing w:line="360" w:lineRule="auto"/>
        <w:ind w:firstLine="420" w:firstLineChars="200"/>
        <w:jc w:val="left"/>
        <w:rPr>
          <w:rFonts w:hint="eastAsia"/>
        </w:rPr>
        <w:sectPr>
          <w:headerReference r:id="rId7" w:type="default"/>
          <w:footerReference r:id="rId8" w:type="default"/>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r>
        <w:rPr>
          <w:rFonts w:hint="eastAsia" w:ascii="宋体" w:hAnsi="宋体" w:eastAsia="宋体" w:cs="宋体"/>
          <w:sz w:val="21"/>
          <w:szCs w:val="21"/>
          <w:lang w:val="en-US" w:eastAsia="zh-CN"/>
        </w:rPr>
        <w:t>本次</w:t>
      </w:r>
      <w:r>
        <w:rPr>
          <w:rFonts w:hint="eastAsia" w:ascii="宋体" w:hAnsi="宋体" w:eastAsia="宋体" w:cs="宋体"/>
          <w:sz w:val="21"/>
          <w:szCs w:val="21"/>
        </w:rPr>
        <w:t>疗</w:t>
      </w:r>
      <w:r>
        <w:rPr>
          <w:rFonts w:hint="eastAsia" w:ascii="宋体" w:hAnsi="宋体" w:eastAsia="宋体" w:cs="宋体"/>
          <w:sz w:val="21"/>
          <w:szCs w:val="21"/>
          <w:lang w:val="en-US" w:eastAsia="zh-CN"/>
        </w:rPr>
        <w:t>休</w:t>
      </w:r>
      <w:r>
        <w:rPr>
          <w:rFonts w:hint="eastAsia" w:ascii="宋体" w:hAnsi="宋体" w:eastAsia="宋体" w:cs="宋体"/>
          <w:sz w:val="21"/>
          <w:szCs w:val="21"/>
        </w:rPr>
        <w:t>养服务</w:t>
      </w:r>
      <w:r>
        <w:rPr>
          <w:rFonts w:hint="eastAsia" w:ascii="宋体" w:hAnsi="宋体" w:eastAsia="宋体" w:cs="宋体"/>
          <w:sz w:val="21"/>
          <w:szCs w:val="21"/>
          <w:lang w:val="en-US" w:eastAsia="zh-CN"/>
        </w:rPr>
        <w:t>全部结束后，</w:t>
      </w:r>
      <w:r>
        <w:rPr>
          <w:rFonts w:hint="eastAsia" w:ascii="宋体" w:hAnsi="宋体" w:eastAsia="宋体" w:cs="宋体"/>
          <w:sz w:val="21"/>
          <w:szCs w:val="21"/>
          <w:lang w:eastAsia="zh-CN"/>
        </w:rPr>
        <w:t>招标人对全体参加疗休养人员</w:t>
      </w:r>
      <w:r>
        <w:rPr>
          <w:rFonts w:hint="eastAsia" w:ascii="宋体" w:hAnsi="宋体" w:eastAsia="宋体" w:cs="宋体"/>
          <w:sz w:val="21"/>
          <w:szCs w:val="21"/>
        </w:rPr>
        <w:t>发放《职工疗休养服务评分反馈表</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按照评分及考核结果，与供应商结算费用，招标人收到双方确认金额的增值税发票后一次性付清公司承担部分，个人承担部分费用由供应商自行与员工及家属结算。</w:t>
      </w:r>
      <w:bookmarkStart w:id="392" w:name="_Toc28181"/>
      <w:bookmarkStart w:id="393" w:name="_Toc20138"/>
      <w:bookmarkStart w:id="394" w:name="_Toc7678"/>
    </w:p>
    <w:p>
      <w:pPr>
        <w:rPr>
          <w:rFonts w:hint="eastAsia"/>
        </w:rPr>
        <w:sectPr>
          <w:type w:val="continuous"/>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pStyle w:val="5"/>
        <w:bidi w:val="0"/>
        <w:jc w:val="center"/>
      </w:pPr>
      <w:bookmarkStart w:id="395" w:name="_Toc14278"/>
      <w:bookmarkStart w:id="396" w:name="_Toc8093"/>
      <w:bookmarkStart w:id="397" w:name="_Toc28192"/>
      <w:bookmarkStart w:id="398" w:name="_Toc26852"/>
      <w:bookmarkStart w:id="399" w:name="_Toc3865"/>
      <w:bookmarkStart w:id="400" w:name="_Toc15521"/>
      <w:bookmarkStart w:id="401" w:name="_Toc7717"/>
      <w:bookmarkStart w:id="402" w:name="_Toc17397"/>
      <w:bookmarkStart w:id="403" w:name="_Toc12196"/>
      <w:r>
        <w:rPr>
          <w:rFonts w:hint="eastAsia"/>
        </w:rPr>
        <w:t>第五章  评标办法</w:t>
      </w:r>
      <w:bookmarkEnd w:id="360"/>
      <w:bookmarkEnd w:id="361"/>
      <w:bookmarkEnd w:id="392"/>
      <w:bookmarkEnd w:id="393"/>
      <w:bookmarkEnd w:id="394"/>
      <w:bookmarkEnd w:id="395"/>
      <w:bookmarkEnd w:id="396"/>
      <w:bookmarkEnd w:id="397"/>
      <w:bookmarkEnd w:id="398"/>
      <w:bookmarkEnd w:id="399"/>
      <w:bookmarkEnd w:id="400"/>
      <w:bookmarkEnd w:id="401"/>
      <w:bookmarkEnd w:id="402"/>
      <w:bookmarkEnd w:id="403"/>
    </w:p>
    <w:p>
      <w:pPr>
        <w:pageBreakBefore w:val="0"/>
        <w:tabs>
          <w:tab w:val="left" w:pos="735"/>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根据《中华人民共和国招标投标法》、《中华人民共和国招标投标法实施条例》等有关规定，结合本项目的实际情况，按照公平、公正、科学、择优的原则，制定本评标办法。</w:t>
      </w:r>
    </w:p>
    <w:p>
      <w:pPr>
        <w:pStyle w:val="6"/>
        <w:pageBreakBefore w:val="0"/>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404" w:name="_Toc23283"/>
      <w:bookmarkStart w:id="405" w:name="_Toc19284"/>
      <w:bookmarkStart w:id="406" w:name="_Toc465176632"/>
      <w:bookmarkStart w:id="407" w:name="_Toc534142820"/>
      <w:bookmarkStart w:id="408" w:name="_Toc8475"/>
      <w:bookmarkStart w:id="409" w:name="_Toc1480"/>
      <w:bookmarkStart w:id="410" w:name="_Toc4106"/>
      <w:bookmarkStart w:id="411" w:name="_Toc18427"/>
      <w:bookmarkStart w:id="412" w:name="_Toc17869"/>
      <w:bookmarkStart w:id="413" w:name="_Toc15631"/>
      <w:bookmarkStart w:id="414" w:name="_Toc330910204"/>
      <w:bookmarkStart w:id="415" w:name="_Toc12200"/>
      <w:bookmarkStart w:id="416" w:name="_Toc18348"/>
      <w:bookmarkStart w:id="417" w:name="_Toc2802"/>
      <w:bookmarkStart w:id="418" w:name="_Toc19570"/>
      <w:r>
        <w:rPr>
          <w:rFonts w:hint="eastAsia" w:ascii="宋体" w:hAnsi="宋体" w:cs="宋体"/>
        </w:rPr>
        <w:t>一、总则</w:t>
      </w:r>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pStyle w:val="6"/>
        <w:pageBreakBefore w:val="0"/>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419" w:name="_Toc32105"/>
      <w:bookmarkStart w:id="420" w:name="_Toc2603"/>
      <w:bookmarkStart w:id="421" w:name="_Toc3046"/>
      <w:bookmarkStart w:id="422" w:name="_Toc26828"/>
      <w:bookmarkStart w:id="423" w:name="_Toc6345"/>
      <w:bookmarkStart w:id="424" w:name="_Toc23948"/>
      <w:bookmarkStart w:id="425" w:name="_Toc16800"/>
      <w:bookmarkStart w:id="426" w:name="_Toc6568"/>
      <w:bookmarkStart w:id="427" w:name="_Toc465176633"/>
      <w:bookmarkStart w:id="428" w:name="_Toc27144"/>
      <w:bookmarkStart w:id="429" w:name="_Toc15944"/>
      <w:bookmarkStart w:id="430" w:name="_Toc330910205"/>
      <w:bookmarkStart w:id="431" w:name="_Toc534142821"/>
      <w:bookmarkStart w:id="432" w:name="_Toc14085"/>
      <w:bookmarkStart w:id="433" w:name="_Toc24095"/>
      <w:r>
        <w:rPr>
          <w:rFonts w:hint="eastAsia" w:ascii="宋体" w:hAnsi="宋体" w:cs="宋体"/>
        </w:rPr>
        <w:t>二、评标组织</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评标工作由招标单位负责组织，依法组建由奇数的人员组成的评标委员会，负责对投标文件进行审查、质询、评审等。评标委员会由招标</w:t>
      </w:r>
      <w:r>
        <w:rPr>
          <w:rFonts w:hint="eastAsia" w:ascii="宋体" w:hAnsi="宋体" w:eastAsia="宋体" w:cs="宋体"/>
          <w:snapToGrid w:val="0"/>
          <w:color w:val="000000" w:themeColor="text1"/>
          <w:kern w:val="0"/>
          <w:szCs w:val="21"/>
          <w:lang w:val="en-US" w:eastAsia="zh-CN"/>
          <w14:textFill>
            <w14:solidFill>
              <w14:schemeClr w14:val="tx1"/>
            </w14:solidFill>
          </w14:textFill>
        </w:rPr>
        <w:t>单位</w:t>
      </w:r>
      <w:r>
        <w:rPr>
          <w:rFonts w:hint="eastAsia" w:ascii="宋体" w:hAnsi="宋体" w:eastAsia="宋体" w:cs="宋体"/>
          <w:snapToGrid w:val="0"/>
          <w:color w:val="000000" w:themeColor="text1"/>
          <w:kern w:val="0"/>
          <w:szCs w:val="21"/>
          <w14:textFill>
            <w14:solidFill>
              <w14:schemeClr w14:val="tx1"/>
            </w14:solidFill>
          </w14:textFill>
        </w:rPr>
        <w:t>组建。</w:t>
      </w:r>
    </w:p>
    <w:p>
      <w:pPr>
        <w:pStyle w:val="6"/>
        <w:pageBreakBefore w:val="0"/>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434" w:name="_Toc10242"/>
      <w:bookmarkStart w:id="435" w:name="_Toc465176634"/>
      <w:bookmarkStart w:id="436" w:name="_Toc534142822"/>
      <w:bookmarkStart w:id="437" w:name="_Toc5527"/>
      <w:bookmarkStart w:id="438" w:name="_Toc1796"/>
      <w:bookmarkStart w:id="439" w:name="_Toc14676"/>
      <w:bookmarkStart w:id="440" w:name="_Toc12684"/>
      <w:bookmarkStart w:id="441" w:name="_Toc6576"/>
      <w:bookmarkStart w:id="442" w:name="_Toc22569"/>
      <w:bookmarkStart w:id="443" w:name="_Toc330910206"/>
      <w:bookmarkStart w:id="444" w:name="_Toc12526"/>
      <w:bookmarkStart w:id="445" w:name="_Toc28601"/>
      <w:bookmarkStart w:id="446" w:name="_Toc19737"/>
      <w:bookmarkStart w:id="447" w:name="_Toc19486"/>
      <w:bookmarkStart w:id="448" w:name="_Toc12562"/>
      <w:r>
        <w:rPr>
          <w:rFonts w:hint="eastAsia" w:ascii="宋体" w:hAnsi="宋体" w:cs="宋体"/>
        </w:rPr>
        <w:t>三、评标纪律</w:t>
      </w:r>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1．评标是招标工作的重要环节，评标工作在评标委员会内独立进行。评标委员会将按照评标原则的要求，公正、平等地对待所有投标人。</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2．所有评标人员应忠于职守、廉洁自律、秉公办事、不徇私情。</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3．评标人员不得接受或参加投标人或与投标有关的单位、组织或个人的有碍公务的宴请、娱乐活动等，不得以任何形式弄虚作假。</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4．评标期间，评标人员不得临时变更人员，随意出入评标地点、与外界通讯、会客等。</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5．在投标文件的审查、澄清、评价和比较以及授予合同的过程中，投标人对招标人及评标委员会成员施加影响的任何行为，都将导致被取消投标资格。</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6．为保证评标的公正性，在评标过程中，评标委员会成员不得与投标人或与中标结果有利害关系的人进行私下接触。在评标工作结束后，凡与评标情况有接触的任何人，不得将评标情况扩散出评标委员会以外。</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7．评标过程中，当发表结论性意见时，先听取其他评委意见，用户评委随后发表意见</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评委对投标人的优劣情况，以及认为差异较大的情况等，应以书面意见做出真实、专业、诚恳负责的表述，不得违背客观、公正的原则。</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8．评标结束后，各评标人员应将全部资料整理上交招标人，严禁将评标过程中的任何资料带出评标现场向投标人或其他单位提供。</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9．在中标结果公布前应对评标委员会成员名单予以保密。</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10．评标委员会对各投标人的商业秘密予以保密。</w:t>
      </w:r>
    </w:p>
    <w:p>
      <w:pPr>
        <w:pageBreakBefore w:val="0"/>
        <w:widowControl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11．评标委员会成员应当客观、公正地履行职责，遵守职业道德，对所提出的评审意见承担个人责任。</w:t>
      </w:r>
    </w:p>
    <w:p>
      <w:pPr>
        <w:pageBreakBefore w:val="0"/>
        <w:widowControl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12．在整个评标过程中，投标人企图影响招标结果的任何活动，可能导致其投标失败。如有违法行为，将依法追究其法律责任。</w:t>
      </w:r>
    </w:p>
    <w:p>
      <w:pPr>
        <w:pStyle w:val="6"/>
        <w:pageBreakBefore w:val="0"/>
        <w:widowControl w:val="0"/>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449" w:name="_Toc23063"/>
      <w:bookmarkStart w:id="450" w:name="_Toc14692"/>
      <w:bookmarkStart w:id="451" w:name="_Toc27929"/>
      <w:bookmarkStart w:id="452" w:name="_Toc28100"/>
      <w:bookmarkStart w:id="453" w:name="_Toc8315"/>
      <w:bookmarkStart w:id="454" w:name="_Toc534142823"/>
      <w:bookmarkStart w:id="455" w:name="_Toc24632"/>
      <w:bookmarkStart w:id="456" w:name="_Toc20957"/>
      <w:bookmarkStart w:id="457" w:name="_Toc818"/>
      <w:bookmarkStart w:id="458" w:name="_Toc12189"/>
      <w:bookmarkStart w:id="459" w:name="_Toc2093"/>
      <w:bookmarkStart w:id="460" w:name="_Toc330910207"/>
      <w:bookmarkStart w:id="461" w:name="_Toc28982"/>
      <w:bookmarkStart w:id="462" w:name="_Toc14123"/>
      <w:bookmarkStart w:id="463" w:name="_Toc465176635"/>
      <w:r>
        <w:rPr>
          <w:rFonts w:hint="eastAsia" w:ascii="宋体" w:hAnsi="宋体" w:cs="宋体"/>
        </w:rPr>
        <w:t>四、评标程序</w:t>
      </w:r>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p>
    <w:p>
      <w:pPr>
        <w:pageBreakBefore w:val="0"/>
        <w:widowControl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1．本项目采用不公开方式评标，评标的依据为招标文件和投标文件。</w:t>
      </w:r>
    </w:p>
    <w:p>
      <w:pPr>
        <w:pageBreakBefore w:val="0"/>
        <w:widowControl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2．熟悉招标文件和评标办法。</w:t>
      </w:r>
    </w:p>
    <w:p>
      <w:pPr>
        <w:pageBreakBefore w:val="0"/>
        <w:widowControl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3．招标</w:t>
      </w:r>
      <w:r>
        <w:rPr>
          <w:rFonts w:hint="eastAsia" w:ascii="宋体" w:hAnsi="宋体" w:eastAsia="宋体" w:cs="宋体"/>
          <w:color w:val="000000" w:themeColor="text1"/>
          <w:szCs w:val="21"/>
          <w:lang w:val="en-US" w:eastAsia="zh-CN"/>
          <w14:textFill>
            <w14:solidFill>
              <w14:schemeClr w14:val="tx1"/>
            </w14:solidFill>
          </w14:textFill>
        </w:rPr>
        <w:t>单位</w:t>
      </w:r>
      <w:r>
        <w:rPr>
          <w:rFonts w:hint="eastAsia" w:ascii="宋体" w:hAnsi="宋体" w:eastAsia="宋体" w:cs="宋体"/>
          <w:color w:val="000000" w:themeColor="text1"/>
          <w:szCs w:val="21"/>
          <w14:textFill>
            <w14:solidFill>
              <w14:schemeClr w14:val="tx1"/>
            </w14:solidFill>
          </w14:textFill>
        </w:rPr>
        <w:t>按照招标文件规定的时间、地点及程序组织评审。评审程序如下：</w:t>
      </w:r>
    </w:p>
    <w:p>
      <w:pPr>
        <w:pageBreakBefore w:val="0"/>
        <w:widowControl w:val="0"/>
        <w:numPr>
          <w:ilvl w:val="1"/>
          <w:numId w:val="54"/>
        </w:numPr>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开启评审场地的录音录像采集设备</w:t>
      </w:r>
      <w:r>
        <w:rPr>
          <w:rFonts w:hint="eastAsia" w:ascii="宋体" w:hAnsi="宋体" w:eastAsia="宋体" w:cs="宋体"/>
          <w:b/>
          <w:color w:val="000000" w:themeColor="text1"/>
          <w:szCs w:val="21"/>
          <w14:textFill>
            <w14:solidFill>
              <w14:schemeClr w14:val="tx1"/>
            </w14:solidFill>
          </w14:textFill>
        </w:rPr>
        <w:t>（如有）</w:t>
      </w:r>
      <w:r>
        <w:rPr>
          <w:rFonts w:hint="eastAsia" w:ascii="宋体" w:hAnsi="宋体" w:eastAsia="宋体" w:cs="宋体"/>
          <w:color w:val="000000" w:themeColor="text1"/>
          <w:szCs w:val="21"/>
          <w14:textFill>
            <w14:solidFill>
              <w14:schemeClr w14:val="tx1"/>
            </w14:solidFill>
          </w14:textFill>
        </w:rPr>
        <w:t>，并确保其正常运行。</w:t>
      </w:r>
    </w:p>
    <w:p>
      <w:pPr>
        <w:pageBreakBefore w:val="0"/>
        <w:widowControl w:val="0"/>
        <w:numPr>
          <w:ilvl w:val="1"/>
          <w:numId w:val="54"/>
        </w:numPr>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核验出席评审活动现场的评审小组各成员和相关</w:t>
      </w:r>
      <w:r>
        <w:rPr>
          <w:rFonts w:hint="eastAsia" w:ascii="宋体" w:hAnsi="宋体" w:eastAsia="宋体" w:cs="宋体"/>
          <w:color w:val="000000" w:themeColor="text1"/>
          <w:szCs w:val="21"/>
          <w:lang w:val="en-US" w:eastAsia="zh-CN"/>
          <w14:textFill>
            <w14:solidFill>
              <w14:schemeClr w14:val="tx1"/>
            </w14:solidFill>
          </w14:textFill>
        </w:rPr>
        <w:t>纪律检查室</w:t>
      </w:r>
      <w:r>
        <w:rPr>
          <w:rFonts w:hint="eastAsia" w:ascii="宋体" w:hAnsi="宋体" w:eastAsia="宋体" w:cs="宋体"/>
          <w:color w:val="000000" w:themeColor="text1"/>
          <w:szCs w:val="21"/>
          <w14:textFill>
            <w14:solidFill>
              <w14:schemeClr w14:val="tx1"/>
            </w14:solidFill>
          </w14:textFill>
        </w:rPr>
        <w:t>人员身份，并要求其分别登记、签到，按规定统一收缴、保存其通讯工具，无关人员一律拒绝其进入评审现场。</w:t>
      </w:r>
    </w:p>
    <w:p>
      <w:pPr>
        <w:pageBreakBefore w:val="0"/>
        <w:widowControl w:val="0"/>
        <w:numPr>
          <w:ilvl w:val="1"/>
          <w:numId w:val="54"/>
        </w:numPr>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介绍评审现场的人员情况，宣布评审工作纪律，告知评审人员应当回避情形；组织推选评审小组组长。</w:t>
      </w:r>
    </w:p>
    <w:p>
      <w:pPr>
        <w:pageBreakBefore w:val="0"/>
        <w:widowControl w:val="0"/>
        <w:numPr>
          <w:ilvl w:val="1"/>
          <w:numId w:val="54"/>
        </w:numPr>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通报报名参加本项目招标的投标人名单及资格预审情况（如有），宣读最终提交投标人的投标人名单，组织评审小组各位成员签订《评审人员廉洁自律承诺书》。</w:t>
      </w:r>
    </w:p>
    <w:p>
      <w:pPr>
        <w:pageBreakBefore w:val="0"/>
        <w:widowControl w:val="0"/>
        <w:numPr>
          <w:ilvl w:val="1"/>
          <w:numId w:val="54"/>
        </w:numPr>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根据需要简要介绍招标文件（含补充文件）制定及异议答复情况、按书面陈述项目基本情况及评审工作需注意事项等。</w:t>
      </w:r>
    </w:p>
    <w:p>
      <w:pPr>
        <w:pageBreakBefore w:val="0"/>
        <w:widowControl w:val="0"/>
        <w:numPr>
          <w:ilvl w:val="1"/>
          <w:numId w:val="54"/>
        </w:numPr>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评审小组组长组织评审人员按照以下程序评审：</w:t>
      </w:r>
    </w:p>
    <w:p>
      <w:pPr>
        <w:keepNext w:val="0"/>
        <w:keepLines w:val="0"/>
        <w:pageBreakBefore w:val="0"/>
        <w:widowControl w:val="0"/>
        <w:numPr>
          <w:ilvl w:val="0"/>
          <w:numId w:val="55"/>
        </w:numPr>
        <w:tabs>
          <w:tab w:val="left" w:pos="851"/>
          <w:tab w:val="left" w:pos="993"/>
        </w:tabs>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资格性审查（详见投标人须知）</w:t>
      </w:r>
    </w:p>
    <w:p>
      <w:pPr>
        <w:keepNext w:val="0"/>
        <w:keepLines w:val="0"/>
        <w:pageBreakBefore w:val="0"/>
        <w:widowControl w:val="0"/>
        <w:numPr>
          <w:ilvl w:val="0"/>
          <w:numId w:val="55"/>
        </w:numPr>
        <w:tabs>
          <w:tab w:val="left" w:pos="851"/>
          <w:tab w:val="left" w:pos="993"/>
        </w:tabs>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符合性审查</w:t>
      </w:r>
      <w:r>
        <w:rPr>
          <w:rFonts w:hint="eastAsia" w:ascii="宋体" w:hAnsi="宋体" w:eastAsia="宋体" w:cs="宋体"/>
          <w:b/>
          <w:color w:val="000000" w:themeColor="text1"/>
          <w:szCs w:val="21"/>
          <w14:textFill>
            <w14:solidFill>
              <w14:schemeClr w14:val="tx1"/>
            </w14:solidFill>
          </w14:textFill>
        </w:rPr>
        <w:t>（详见投标人须知）</w:t>
      </w:r>
    </w:p>
    <w:p>
      <w:pPr>
        <w:pageBreakBefore w:val="0"/>
        <w:widowControl w:val="0"/>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评审小组对拟认定为投标人无效、投标人资格不符合的，应组织相关投标人代表进行陈述、澄清或申辩。“陈述、澄清或申辩”将通过以下方式进行：</w:t>
      </w:r>
    </w:p>
    <w:p>
      <w:pPr>
        <w:pageBreakBefore w:val="0"/>
        <w:widowControl w:val="0"/>
        <w:tabs>
          <w:tab w:val="left" w:pos="851"/>
          <w:tab w:val="left" w:pos="993"/>
        </w:tabs>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按照招标公告</w:t>
      </w:r>
      <w:r>
        <w:rPr>
          <w:rFonts w:hint="eastAsia" w:ascii="宋体" w:hAnsi="宋体" w:eastAsia="宋体" w:cs="宋体"/>
          <w:b/>
          <w:snapToGrid w:val="0"/>
          <w:color w:val="000000" w:themeColor="text1"/>
          <w:kern w:val="0"/>
          <w:szCs w:val="21"/>
          <w14:textFill>
            <w14:solidFill>
              <w14:schemeClr w14:val="tx1"/>
            </w14:solidFill>
          </w14:textFill>
        </w:rPr>
        <w:t>授权代表对澄清、说明或者补正内容未签字确认的，将自行承担由此可能导致的对其不利的评审结果，评标委员会按少数服从多数原则对相关内容进行评判。</w:t>
      </w:r>
    </w:p>
    <w:p>
      <w:pPr>
        <w:pageBreakBefore w:val="0"/>
        <w:widowControl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keepNext w:val="0"/>
        <w:keepLines w:val="0"/>
        <w:pageBreakBefore w:val="0"/>
        <w:widowControl w:val="0"/>
        <w:numPr>
          <w:ilvl w:val="0"/>
          <w:numId w:val="55"/>
        </w:numPr>
        <w:tabs>
          <w:tab w:val="left" w:pos="851"/>
          <w:tab w:val="left" w:pos="993"/>
        </w:tabs>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详细评审（详见五、评标细则及标准）</w:t>
      </w:r>
    </w:p>
    <w:p>
      <w:pPr>
        <w:pageBreakBefore w:val="0"/>
        <w:widowControl w:val="0"/>
        <w:numPr>
          <w:ilvl w:val="0"/>
          <w:numId w:val="56"/>
        </w:numPr>
        <w:tabs>
          <w:tab w:val="left" w:pos="851"/>
          <w:tab w:val="left" w:pos="993"/>
        </w:tabs>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评审小组根据评审汇总情况和招标文件规定确定中标（成交）候选投标人排序名单。</w:t>
      </w:r>
    </w:p>
    <w:p>
      <w:pPr>
        <w:pageBreakBefore w:val="0"/>
        <w:widowControl w:val="0"/>
        <w:numPr>
          <w:ilvl w:val="0"/>
          <w:numId w:val="56"/>
        </w:numPr>
        <w:tabs>
          <w:tab w:val="left" w:pos="851"/>
          <w:tab w:val="left" w:pos="993"/>
        </w:tabs>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起草评审报告，所有评审人员须在评审报告上签字确认。</w:t>
      </w:r>
    </w:p>
    <w:p>
      <w:pPr>
        <w:pageBreakBefore w:val="0"/>
        <w:widowControl w:val="0"/>
        <w:numPr>
          <w:ilvl w:val="0"/>
          <w:numId w:val="56"/>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评审人员对有关招标文件、投标文件、样品（如有）、现场演示（如有）的说明、解释、要求、标准存在不同意见的，持不同意见的评审人员及其意见或理由应予以完整记录，并在评审过程中按照少数服从多数的原则表决执行。对招标文件本身不明确或存在歧义、矛盾的内容，应作对投标人而非招标人有利的解释；对因招标文件中有关产品技术参数需求表述不清导致投标人实质性响应不一致时，应终止评审，重新组织招标。评审人员拒绝在评审报告中签字又不说明其不同意见或理由的，由现场</w:t>
      </w:r>
      <w:r>
        <w:rPr>
          <w:rFonts w:hint="eastAsia" w:ascii="宋体" w:hAnsi="宋体" w:eastAsia="宋体" w:cs="宋体"/>
          <w:color w:val="000000" w:themeColor="text1"/>
          <w:szCs w:val="21"/>
          <w:lang w:val="en-US" w:eastAsia="zh-CN"/>
          <w14:textFill>
            <w14:solidFill>
              <w14:schemeClr w14:val="tx1"/>
            </w14:solidFill>
          </w14:textFill>
        </w:rPr>
        <w:t>纪律检查人</w:t>
      </w:r>
      <w:r>
        <w:rPr>
          <w:rFonts w:hint="eastAsia" w:ascii="宋体" w:hAnsi="宋体" w:eastAsia="宋体" w:cs="宋体"/>
          <w:color w:val="000000" w:themeColor="text1"/>
          <w:szCs w:val="21"/>
          <w14:textFill>
            <w14:solidFill>
              <w14:schemeClr w14:val="tx1"/>
            </w14:solidFill>
          </w14:textFill>
        </w:rPr>
        <w:t>员记录在案后，可视为同意评审结果。</w:t>
      </w:r>
    </w:p>
    <w:p>
      <w:pPr>
        <w:pageBreakBefore w:val="0"/>
        <w:numPr>
          <w:ilvl w:val="0"/>
          <w:numId w:val="56"/>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推荐中标候选人。评标委员会根据评审后的得分由高至低顺序排列，推荐前三名为中标候选人。得分相同的，按投标报价由低到高顺序排列，得分且投标报价相同的，按技术指标优劣顺序排列。</w:t>
      </w:r>
    </w:p>
    <w:p>
      <w:pPr>
        <w:pageBreakBefore w:val="0"/>
        <w:numPr>
          <w:ilvl w:val="0"/>
          <w:numId w:val="56"/>
        </w:numPr>
        <w:kinsoku/>
        <w:wordWrap/>
        <w:overflowPunct/>
        <w:topLinePunct w:val="0"/>
        <w:autoSpaceDE/>
        <w:autoSpaceDN/>
        <w:bidi w:val="0"/>
        <w:adjustRightInd w:val="0"/>
        <w:snapToGrid w:val="0"/>
        <w:spacing w:line="360" w:lineRule="auto"/>
        <w:ind w:left="0" w:leftChars="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完成评标报告。评标报告是评标委员会根据全体评标成员签字的原始评标记录和评标结果编写的报告</w:t>
      </w:r>
      <w:r>
        <w:rPr>
          <w:rFonts w:hint="eastAsia" w:ascii="宋体" w:hAnsi="宋体" w:eastAsia="宋体" w:cs="宋体"/>
          <w:color w:val="000000" w:themeColor="text1"/>
          <w:szCs w:val="21"/>
          <w:lang w:eastAsia="zh-CN"/>
          <w14:textFill>
            <w14:solidFill>
              <w14:schemeClr w14:val="tx1"/>
            </w14:solidFill>
          </w14:textFill>
        </w:rPr>
        <w:t>。</w:t>
      </w:r>
    </w:p>
    <w:p>
      <w:pPr>
        <w:pStyle w:val="6"/>
        <w:pageBreakBefore w:val="0"/>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464" w:name="_Toc251566666"/>
      <w:bookmarkStart w:id="465" w:name="_Toc249760795"/>
      <w:bookmarkStart w:id="466" w:name="_Toc16107"/>
      <w:bookmarkStart w:id="467" w:name="_Toc367274992"/>
      <w:bookmarkStart w:id="468" w:name="_Toc28333"/>
      <w:bookmarkStart w:id="469" w:name="_Toc31113"/>
      <w:bookmarkStart w:id="470" w:name="_Toc18254"/>
      <w:bookmarkStart w:id="471" w:name="_Toc28715"/>
      <w:bookmarkStart w:id="472" w:name="_Toc336"/>
      <w:bookmarkStart w:id="473" w:name="_Toc106"/>
      <w:bookmarkStart w:id="474" w:name="_Toc24072"/>
      <w:bookmarkStart w:id="475" w:name="_Toc16962"/>
      <w:bookmarkStart w:id="476" w:name="_Toc295465370"/>
      <w:bookmarkStart w:id="477" w:name="_Toc9951"/>
      <w:bookmarkStart w:id="478" w:name="_Toc534142824"/>
      <w:bookmarkStart w:id="479" w:name="_Toc21612"/>
      <w:bookmarkStart w:id="480" w:name="_Toc3002"/>
      <w:r>
        <w:rPr>
          <w:rFonts w:hint="eastAsia" w:ascii="宋体" w:hAnsi="宋体" w:cs="宋体"/>
        </w:rPr>
        <w:t>五、评标</w:t>
      </w:r>
      <w:bookmarkEnd w:id="464"/>
      <w:bookmarkEnd w:id="465"/>
      <w:r>
        <w:rPr>
          <w:rFonts w:hint="eastAsia" w:ascii="宋体" w:hAnsi="宋体" w:cs="宋体"/>
        </w:rPr>
        <w:t>细则及标准</w:t>
      </w:r>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 本项目采用综合评分法（总分100分），评标委员会根据本评审办法进行评审，对各投标人的价格、商务、技术等评分因素在分值范围内进行各自打分。每个投标人最终得分=商务+技术分。</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2.评审时，评标委员会各成员应当独立对每个有效响应的文件进行评价、打分，然后汇总每个投标人每项评分因素的得分。</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3.对投标人的价格分等客观评分项的评分应当一致，对其他需要借助专业知识评判的主观评分项，应当严格按照评分细则公正评分。</w:t>
      </w:r>
    </w:p>
    <w:p>
      <w:pPr>
        <w:pageBreakBefore w:val="0"/>
        <w:kinsoku/>
        <w:wordWrap/>
        <w:overflowPunct/>
        <w:topLinePunct w:val="0"/>
        <w:autoSpaceDE/>
        <w:autoSpaceDN/>
        <w:bidi w:val="0"/>
        <w:adjustRightInd w:val="0"/>
        <w:snapToGrid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4.评标结果按评审后得分由高到低顺序排列。得分相同的，按投标报价由低到高顺序排列。得分且投标报价相同的并列。投标文件满足招标文件全部实质性要求，且按照评审因素的量化指标评审得分</w:t>
      </w:r>
      <w:r>
        <w:rPr>
          <w:rFonts w:hint="eastAsia" w:ascii="宋体" w:hAnsi="宋体" w:eastAsia="宋体" w:cs="宋体"/>
          <w:color w:val="000000" w:themeColor="text1"/>
          <w:szCs w:val="21"/>
          <w:lang w:val="en-US" w:eastAsia="zh-CN"/>
          <w14:textFill>
            <w14:solidFill>
              <w14:schemeClr w14:val="tx1"/>
            </w14:solidFill>
          </w14:textFill>
        </w:rPr>
        <w:t>前三</w:t>
      </w:r>
      <w:r>
        <w:rPr>
          <w:rFonts w:hint="eastAsia" w:ascii="宋体" w:hAnsi="宋体" w:eastAsia="宋体" w:cs="宋体"/>
          <w:color w:val="000000" w:themeColor="text1"/>
          <w:szCs w:val="21"/>
          <w14:textFill>
            <w14:solidFill>
              <w14:schemeClr w14:val="tx1"/>
            </w14:solidFill>
          </w14:textFill>
        </w:rPr>
        <w:t>的投标人为中标候选人。</w:t>
      </w:r>
    </w:p>
    <w:p>
      <w:pPr>
        <w:pageBreakBefore w:val="0"/>
        <w:widowControl/>
        <w:kinsoku/>
        <w:wordWrap/>
        <w:overflowPunct/>
        <w:topLinePunct w:val="0"/>
        <w:autoSpaceDE/>
        <w:autoSpaceDN/>
        <w:bidi w:val="0"/>
        <w:spacing w:line="360" w:lineRule="auto"/>
        <w:ind w:left="0" w:firstLine="420" w:firstLineChars="200"/>
        <w:jc w:val="both"/>
        <w:textAlignment w:val="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br w:type="page"/>
      </w:r>
    </w:p>
    <w:p>
      <w:pPr>
        <w:numPr>
          <w:ilvl w:val="0"/>
          <w:numId w:val="57"/>
        </w:numPr>
        <w:adjustRightInd w:val="0"/>
        <w:snapToGrid w:val="0"/>
        <w:spacing w:line="360" w:lineRule="auto"/>
        <w:ind w:firstLine="420" w:firstLineChars="200"/>
        <w:rPr>
          <w:rFonts w:hint="eastAsia"/>
        </w:rPr>
      </w:pPr>
      <w:r>
        <w:rPr>
          <w:rFonts w:hint="eastAsia" w:ascii="宋体" w:hAnsi="宋体" w:eastAsia="宋体" w:cs="宋体"/>
          <w:color w:val="000000" w:themeColor="text1"/>
          <w:szCs w:val="21"/>
          <w14:textFill>
            <w14:solidFill>
              <w14:schemeClr w14:val="tx1"/>
            </w14:solidFill>
          </w14:textFill>
        </w:rPr>
        <w:t>评分因素及分值范围</w:t>
      </w:r>
    </w:p>
    <w:tbl>
      <w:tblPr>
        <w:tblStyle w:val="48"/>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125"/>
        <w:gridCol w:w="1585"/>
        <w:gridCol w:w="1529"/>
        <w:gridCol w:w="3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trPr>
        <w:tc>
          <w:tcPr>
            <w:tcW w:w="406" w:type="pct"/>
            <w:noWrap w:val="0"/>
            <w:vAlign w:val="center"/>
          </w:tcPr>
          <w:p>
            <w:pPr>
              <w:pStyle w:val="58"/>
              <w:jc w:val="center"/>
              <w:rPr>
                <w:rFonts w:hint="eastAsia"/>
                <w:b/>
                <w:bCs/>
                <w:sz w:val="21"/>
                <w:szCs w:val="21"/>
              </w:rPr>
            </w:pPr>
            <w:r>
              <w:rPr>
                <w:rFonts w:hint="eastAsia"/>
                <w:b/>
                <w:bCs/>
                <w:sz w:val="21"/>
                <w:szCs w:val="21"/>
              </w:rPr>
              <w:t>序号</w:t>
            </w:r>
          </w:p>
        </w:tc>
        <w:tc>
          <w:tcPr>
            <w:tcW w:w="646" w:type="pct"/>
            <w:noWrap w:val="0"/>
            <w:vAlign w:val="center"/>
          </w:tcPr>
          <w:p>
            <w:pPr>
              <w:pStyle w:val="58"/>
              <w:jc w:val="center"/>
              <w:rPr>
                <w:rFonts w:hint="eastAsia"/>
                <w:b/>
                <w:bCs/>
                <w:sz w:val="21"/>
                <w:szCs w:val="21"/>
              </w:rPr>
            </w:pPr>
            <w:r>
              <w:rPr>
                <w:rFonts w:hint="eastAsia"/>
                <w:b/>
                <w:bCs/>
                <w:sz w:val="21"/>
                <w:szCs w:val="21"/>
              </w:rPr>
              <w:t>评分项目</w:t>
            </w:r>
          </w:p>
        </w:tc>
        <w:tc>
          <w:tcPr>
            <w:tcW w:w="910" w:type="pct"/>
            <w:noWrap w:val="0"/>
            <w:vAlign w:val="center"/>
          </w:tcPr>
          <w:p>
            <w:pPr>
              <w:pStyle w:val="58"/>
              <w:jc w:val="center"/>
              <w:rPr>
                <w:rFonts w:hint="eastAsia"/>
                <w:b/>
                <w:bCs/>
                <w:sz w:val="21"/>
                <w:szCs w:val="21"/>
              </w:rPr>
            </w:pPr>
            <w:r>
              <w:rPr>
                <w:rFonts w:hint="eastAsia"/>
                <w:b/>
                <w:bCs/>
                <w:sz w:val="21"/>
                <w:szCs w:val="21"/>
                <w:lang w:eastAsia="zh-CN"/>
              </w:rPr>
              <w:t>招标</w:t>
            </w:r>
            <w:r>
              <w:rPr>
                <w:rFonts w:hint="eastAsia"/>
                <w:b/>
                <w:bCs/>
                <w:sz w:val="21"/>
                <w:szCs w:val="21"/>
              </w:rPr>
              <w:t>因素</w:t>
            </w:r>
          </w:p>
        </w:tc>
        <w:tc>
          <w:tcPr>
            <w:tcW w:w="3036" w:type="pct"/>
            <w:gridSpan w:val="2"/>
            <w:noWrap w:val="0"/>
            <w:vAlign w:val="center"/>
          </w:tcPr>
          <w:p>
            <w:pPr>
              <w:pStyle w:val="58"/>
              <w:jc w:val="center"/>
              <w:rPr>
                <w:rFonts w:hint="eastAsia"/>
                <w:b/>
                <w:bCs/>
                <w:sz w:val="21"/>
                <w:szCs w:val="21"/>
              </w:rPr>
            </w:pPr>
            <w:r>
              <w:rPr>
                <w:rFonts w:hint="eastAsia"/>
                <w:b/>
                <w:bCs/>
                <w:sz w:val="21"/>
                <w:szCs w:val="21"/>
              </w:rPr>
              <w:t>评审内容及评分标准说明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406" w:type="pct"/>
            <w:vMerge w:val="restart"/>
            <w:noWrap w:val="0"/>
            <w:vAlign w:val="center"/>
          </w:tcPr>
          <w:p>
            <w:pPr>
              <w:pStyle w:val="58"/>
              <w:jc w:val="center"/>
              <w:rPr>
                <w:rFonts w:hint="eastAsia"/>
                <w:sz w:val="21"/>
                <w:szCs w:val="21"/>
              </w:rPr>
            </w:pPr>
            <w:r>
              <w:rPr>
                <w:rFonts w:hint="eastAsia"/>
                <w:sz w:val="21"/>
                <w:szCs w:val="21"/>
              </w:rPr>
              <w:t>1</w:t>
            </w:r>
          </w:p>
        </w:tc>
        <w:tc>
          <w:tcPr>
            <w:tcW w:w="646" w:type="pct"/>
            <w:vMerge w:val="restart"/>
            <w:noWrap w:val="0"/>
            <w:vAlign w:val="center"/>
          </w:tcPr>
          <w:p>
            <w:pPr>
              <w:pStyle w:val="58"/>
              <w:jc w:val="center"/>
              <w:rPr>
                <w:rFonts w:hint="eastAsia"/>
                <w:sz w:val="21"/>
                <w:szCs w:val="21"/>
              </w:rPr>
            </w:pPr>
            <w:r>
              <w:rPr>
                <w:rFonts w:hint="eastAsia"/>
                <w:sz w:val="21"/>
                <w:szCs w:val="21"/>
              </w:rPr>
              <w:t>技术分</w:t>
            </w:r>
          </w:p>
          <w:p>
            <w:pPr>
              <w:pStyle w:val="58"/>
              <w:jc w:val="center"/>
              <w:rPr>
                <w:rFonts w:hint="eastAsia"/>
                <w:sz w:val="21"/>
                <w:szCs w:val="21"/>
              </w:rPr>
            </w:pPr>
            <w:r>
              <w:rPr>
                <w:rFonts w:hint="eastAsia"/>
                <w:sz w:val="21"/>
                <w:szCs w:val="21"/>
              </w:rPr>
              <w:t>（67分）</w:t>
            </w:r>
          </w:p>
        </w:tc>
        <w:tc>
          <w:tcPr>
            <w:tcW w:w="910" w:type="pct"/>
            <w:vMerge w:val="restart"/>
            <w:noWrap w:val="0"/>
            <w:vAlign w:val="center"/>
          </w:tcPr>
          <w:p>
            <w:pPr>
              <w:pStyle w:val="58"/>
              <w:jc w:val="center"/>
              <w:rPr>
                <w:rFonts w:hint="eastAsia"/>
                <w:sz w:val="21"/>
                <w:szCs w:val="21"/>
              </w:rPr>
            </w:pPr>
            <w:r>
              <w:rPr>
                <w:rFonts w:hint="eastAsia"/>
                <w:sz w:val="21"/>
                <w:szCs w:val="21"/>
              </w:rPr>
              <w:t>项目总体工作方案</w:t>
            </w:r>
          </w:p>
          <w:p>
            <w:pPr>
              <w:pStyle w:val="58"/>
              <w:jc w:val="center"/>
              <w:rPr>
                <w:rFonts w:hint="eastAsia" w:eastAsia="宋体"/>
                <w:sz w:val="21"/>
                <w:szCs w:val="21"/>
                <w:lang w:eastAsia="zh-CN"/>
              </w:rPr>
            </w:pPr>
            <w:r>
              <w:rPr>
                <w:rFonts w:hint="eastAsia"/>
                <w:sz w:val="21"/>
                <w:szCs w:val="21"/>
                <w:lang w:eastAsia="zh-CN"/>
              </w:rPr>
              <w:t>（</w:t>
            </w:r>
            <w:r>
              <w:rPr>
                <w:rFonts w:hint="eastAsia"/>
                <w:sz w:val="21"/>
                <w:szCs w:val="21"/>
                <w:lang w:val="en-US" w:eastAsia="zh-CN"/>
              </w:rPr>
              <w:t>0-30分</w:t>
            </w:r>
            <w:r>
              <w:rPr>
                <w:rFonts w:hint="eastAsia"/>
                <w:sz w:val="21"/>
                <w:szCs w:val="21"/>
                <w:lang w:eastAsia="zh-CN"/>
              </w:rPr>
              <w:t>）</w:t>
            </w:r>
          </w:p>
          <w:p>
            <w:pPr>
              <w:pStyle w:val="58"/>
              <w:jc w:val="center"/>
              <w:rPr>
                <w:rFonts w:hint="eastAsia"/>
                <w:sz w:val="21"/>
                <w:szCs w:val="21"/>
              </w:rPr>
            </w:pPr>
          </w:p>
        </w:tc>
        <w:tc>
          <w:tcPr>
            <w:tcW w:w="878" w:type="pct"/>
            <w:noWrap w:val="0"/>
            <w:vAlign w:val="center"/>
          </w:tcPr>
          <w:p>
            <w:pPr>
              <w:pStyle w:val="58"/>
              <w:jc w:val="center"/>
              <w:rPr>
                <w:rFonts w:hint="eastAsia"/>
                <w:sz w:val="21"/>
                <w:szCs w:val="21"/>
                <w:lang w:val="en-US" w:eastAsia="zh-CN"/>
              </w:rPr>
            </w:pPr>
            <w:r>
              <w:rPr>
                <w:rFonts w:hint="eastAsia"/>
                <w:sz w:val="21"/>
                <w:szCs w:val="21"/>
                <w:lang w:val="en-US" w:eastAsia="zh-CN"/>
              </w:rPr>
              <w:t>线路规划</w:t>
            </w:r>
          </w:p>
          <w:p>
            <w:pPr>
              <w:pStyle w:val="58"/>
              <w:jc w:val="center"/>
              <w:rPr>
                <w:rFonts w:hint="default"/>
                <w:sz w:val="21"/>
                <w:szCs w:val="21"/>
                <w:lang w:val="en-US" w:eastAsia="zh-CN"/>
              </w:rPr>
            </w:pPr>
            <w:r>
              <w:rPr>
                <w:rFonts w:hint="eastAsia"/>
                <w:sz w:val="21"/>
                <w:szCs w:val="21"/>
                <w:lang w:val="en-US" w:eastAsia="zh-CN"/>
              </w:rPr>
              <w:t>（0-9分）</w:t>
            </w:r>
          </w:p>
        </w:tc>
        <w:tc>
          <w:tcPr>
            <w:tcW w:w="2157" w:type="pct"/>
            <w:noWrap w:val="0"/>
            <w:vAlign w:val="center"/>
          </w:tcPr>
          <w:p>
            <w:pPr>
              <w:pStyle w:val="58"/>
              <w:jc w:val="both"/>
              <w:rPr>
                <w:rFonts w:hint="eastAsia"/>
                <w:sz w:val="21"/>
                <w:szCs w:val="21"/>
              </w:rPr>
            </w:pPr>
            <w:r>
              <w:rPr>
                <w:rFonts w:hint="eastAsia"/>
                <w:sz w:val="21"/>
                <w:szCs w:val="21"/>
                <w:lang w:val="en-US" w:eastAsia="zh-CN"/>
              </w:rPr>
              <w:t>1.</w:t>
            </w:r>
            <w:r>
              <w:rPr>
                <w:rFonts w:hint="eastAsia"/>
                <w:sz w:val="21"/>
                <w:szCs w:val="21"/>
                <w:lang w:eastAsia="zh-CN"/>
              </w:rPr>
              <w:t>针对本项目线路（</w:t>
            </w:r>
            <w:r>
              <w:rPr>
                <w:rFonts w:hint="eastAsia"/>
                <w:sz w:val="21"/>
                <w:szCs w:val="21"/>
                <w:lang w:val="en-US" w:eastAsia="zh-CN"/>
              </w:rPr>
              <w:t>4档线路中每档任选5-7条线路及2条特色线路</w:t>
            </w:r>
            <w:r>
              <w:rPr>
                <w:rFonts w:hint="eastAsia"/>
                <w:sz w:val="21"/>
                <w:szCs w:val="21"/>
                <w:lang w:eastAsia="zh-CN"/>
              </w:rPr>
              <w:t>）安排（包括景点安排）：每条线路必须提供详细的行程单，详细标明各景点特色情况进行打分</w:t>
            </w:r>
            <w:r>
              <w:rPr>
                <w:rFonts w:hint="eastAsia"/>
                <w:sz w:val="21"/>
                <w:szCs w:val="21"/>
                <w:lang w:val="en-US" w:eastAsia="zh-CN"/>
              </w:rPr>
              <w:t>0-5分</w:t>
            </w:r>
            <w:r>
              <w:rPr>
                <w:rFonts w:hint="eastAsia"/>
                <w:sz w:val="21"/>
                <w:szCs w:val="21"/>
                <w:lang w:eastAsia="zh-CN"/>
              </w:rPr>
              <w:t>；详细的游玩时间合理性进行打分</w:t>
            </w:r>
            <w:r>
              <w:rPr>
                <w:rFonts w:hint="eastAsia"/>
                <w:sz w:val="21"/>
                <w:szCs w:val="21"/>
                <w:lang w:val="en-US" w:eastAsia="zh-CN"/>
              </w:rPr>
              <w:t>0-4分</w:t>
            </w:r>
            <w:r>
              <w:rPr>
                <w:rFonts w:hint="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406" w:type="pct"/>
            <w:vMerge w:val="continue"/>
            <w:noWrap w:val="0"/>
            <w:vAlign w:val="center"/>
          </w:tcPr>
          <w:p>
            <w:pPr>
              <w:pStyle w:val="58"/>
              <w:jc w:val="center"/>
              <w:rPr>
                <w:rFonts w:hint="eastAsia"/>
                <w:sz w:val="21"/>
                <w:szCs w:val="21"/>
              </w:rPr>
            </w:pPr>
          </w:p>
        </w:tc>
        <w:tc>
          <w:tcPr>
            <w:tcW w:w="646" w:type="pct"/>
            <w:vMerge w:val="continue"/>
            <w:noWrap w:val="0"/>
            <w:vAlign w:val="center"/>
          </w:tcPr>
          <w:p>
            <w:pPr>
              <w:pStyle w:val="58"/>
              <w:jc w:val="center"/>
              <w:rPr>
                <w:rFonts w:hint="eastAsia"/>
                <w:sz w:val="21"/>
                <w:szCs w:val="21"/>
              </w:rPr>
            </w:pPr>
          </w:p>
        </w:tc>
        <w:tc>
          <w:tcPr>
            <w:tcW w:w="910" w:type="pct"/>
            <w:vMerge w:val="continue"/>
            <w:noWrap w:val="0"/>
            <w:vAlign w:val="center"/>
          </w:tcPr>
          <w:p>
            <w:pPr>
              <w:pStyle w:val="58"/>
              <w:jc w:val="center"/>
              <w:rPr>
                <w:rFonts w:hint="eastAsia"/>
                <w:sz w:val="21"/>
                <w:szCs w:val="21"/>
              </w:rPr>
            </w:pPr>
          </w:p>
        </w:tc>
        <w:tc>
          <w:tcPr>
            <w:tcW w:w="878" w:type="pct"/>
            <w:noWrap w:val="0"/>
            <w:vAlign w:val="center"/>
          </w:tcPr>
          <w:p>
            <w:pPr>
              <w:pStyle w:val="58"/>
              <w:jc w:val="center"/>
              <w:rPr>
                <w:rFonts w:hint="eastAsia"/>
                <w:sz w:val="21"/>
                <w:szCs w:val="21"/>
                <w:lang w:val="en-US" w:eastAsia="zh-CN"/>
              </w:rPr>
            </w:pPr>
            <w:r>
              <w:rPr>
                <w:rFonts w:hint="eastAsia"/>
                <w:sz w:val="21"/>
                <w:szCs w:val="21"/>
                <w:lang w:val="en-US" w:eastAsia="zh-CN"/>
              </w:rPr>
              <w:t>住宿安排</w:t>
            </w:r>
          </w:p>
          <w:p>
            <w:pPr>
              <w:pStyle w:val="58"/>
              <w:jc w:val="center"/>
              <w:rPr>
                <w:rFonts w:hint="eastAsia"/>
                <w:sz w:val="21"/>
                <w:szCs w:val="21"/>
                <w:lang w:val="en-US" w:eastAsia="zh-CN"/>
              </w:rPr>
            </w:pPr>
            <w:r>
              <w:rPr>
                <w:rFonts w:hint="eastAsia"/>
                <w:sz w:val="21"/>
                <w:szCs w:val="21"/>
                <w:lang w:val="en-US" w:eastAsia="zh-CN"/>
              </w:rPr>
              <w:t>（0-6分）</w:t>
            </w:r>
          </w:p>
        </w:tc>
        <w:tc>
          <w:tcPr>
            <w:tcW w:w="2157" w:type="pct"/>
            <w:noWrap w:val="0"/>
            <w:vAlign w:val="center"/>
          </w:tcPr>
          <w:p>
            <w:pPr>
              <w:pStyle w:val="58"/>
              <w:jc w:val="both"/>
              <w:rPr>
                <w:rFonts w:hint="eastAsia"/>
                <w:sz w:val="21"/>
                <w:szCs w:val="21"/>
              </w:rPr>
            </w:pPr>
            <w:r>
              <w:rPr>
                <w:rFonts w:hint="eastAsia"/>
                <w:sz w:val="21"/>
                <w:szCs w:val="21"/>
                <w:lang w:val="en-US" w:eastAsia="zh-CN"/>
              </w:rPr>
              <w:t>2.</w:t>
            </w:r>
            <w:r>
              <w:rPr>
                <w:rFonts w:hint="eastAsia"/>
                <w:sz w:val="21"/>
                <w:szCs w:val="21"/>
                <w:lang w:val="zh-CN" w:eastAsia="zh-CN"/>
              </w:rPr>
              <w:t>住宿酒店安排（需提供参考酒店名称）、酒店星级安排及</w:t>
            </w:r>
            <w:r>
              <w:rPr>
                <w:rFonts w:hint="eastAsia"/>
                <w:sz w:val="21"/>
                <w:szCs w:val="21"/>
                <w:lang w:eastAsia="zh-CN"/>
              </w:rPr>
              <w:t>酒店特色等条件进行打分</w:t>
            </w:r>
            <w:r>
              <w:rPr>
                <w:rFonts w:hint="eastAsia"/>
                <w:sz w:val="21"/>
                <w:szCs w:val="21"/>
                <w:lang w:val="en-US" w:eastAsia="zh-CN"/>
              </w:rPr>
              <w:t>0-6分</w:t>
            </w:r>
            <w:r>
              <w:rPr>
                <w:rFonts w:hint="eastAsia"/>
                <w:sz w:val="21"/>
                <w:szCs w:val="21"/>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406" w:type="pct"/>
            <w:vMerge w:val="continue"/>
            <w:noWrap w:val="0"/>
            <w:vAlign w:val="center"/>
          </w:tcPr>
          <w:p>
            <w:pPr>
              <w:pStyle w:val="58"/>
              <w:jc w:val="center"/>
              <w:rPr>
                <w:rFonts w:hint="eastAsia"/>
                <w:sz w:val="21"/>
                <w:szCs w:val="21"/>
              </w:rPr>
            </w:pPr>
          </w:p>
        </w:tc>
        <w:tc>
          <w:tcPr>
            <w:tcW w:w="646" w:type="pct"/>
            <w:vMerge w:val="continue"/>
            <w:noWrap w:val="0"/>
            <w:vAlign w:val="center"/>
          </w:tcPr>
          <w:p>
            <w:pPr>
              <w:pStyle w:val="58"/>
              <w:jc w:val="center"/>
              <w:rPr>
                <w:rFonts w:hint="eastAsia"/>
                <w:sz w:val="21"/>
                <w:szCs w:val="21"/>
              </w:rPr>
            </w:pPr>
          </w:p>
        </w:tc>
        <w:tc>
          <w:tcPr>
            <w:tcW w:w="910" w:type="pct"/>
            <w:vMerge w:val="continue"/>
            <w:noWrap w:val="0"/>
            <w:vAlign w:val="center"/>
          </w:tcPr>
          <w:p>
            <w:pPr>
              <w:pStyle w:val="58"/>
              <w:jc w:val="center"/>
              <w:rPr>
                <w:rFonts w:hint="eastAsia"/>
                <w:sz w:val="21"/>
                <w:szCs w:val="21"/>
              </w:rPr>
            </w:pPr>
          </w:p>
        </w:tc>
        <w:tc>
          <w:tcPr>
            <w:tcW w:w="878" w:type="pct"/>
            <w:noWrap w:val="0"/>
            <w:vAlign w:val="center"/>
          </w:tcPr>
          <w:p>
            <w:pPr>
              <w:pStyle w:val="58"/>
              <w:jc w:val="center"/>
              <w:rPr>
                <w:rFonts w:hint="eastAsia"/>
                <w:sz w:val="21"/>
                <w:szCs w:val="21"/>
                <w:lang w:val="en-US" w:eastAsia="zh-CN"/>
              </w:rPr>
            </w:pPr>
            <w:r>
              <w:rPr>
                <w:rFonts w:hint="eastAsia"/>
                <w:sz w:val="21"/>
                <w:szCs w:val="21"/>
                <w:lang w:val="en-US" w:eastAsia="zh-CN"/>
              </w:rPr>
              <w:t>用餐规划</w:t>
            </w:r>
          </w:p>
          <w:p>
            <w:pPr>
              <w:pStyle w:val="58"/>
              <w:jc w:val="center"/>
              <w:rPr>
                <w:rFonts w:hint="default"/>
                <w:sz w:val="21"/>
                <w:szCs w:val="21"/>
                <w:lang w:val="en-US" w:eastAsia="zh-CN"/>
              </w:rPr>
            </w:pPr>
            <w:r>
              <w:rPr>
                <w:rFonts w:hint="eastAsia"/>
                <w:sz w:val="21"/>
                <w:szCs w:val="21"/>
                <w:lang w:val="en-US" w:eastAsia="zh-CN"/>
              </w:rPr>
              <w:t>（0-8分）</w:t>
            </w:r>
          </w:p>
        </w:tc>
        <w:tc>
          <w:tcPr>
            <w:tcW w:w="2157" w:type="pct"/>
            <w:noWrap w:val="0"/>
            <w:vAlign w:val="center"/>
          </w:tcPr>
          <w:p>
            <w:pPr>
              <w:pStyle w:val="58"/>
              <w:jc w:val="both"/>
              <w:rPr>
                <w:rFonts w:hint="eastAsia"/>
                <w:sz w:val="21"/>
                <w:szCs w:val="21"/>
              </w:rPr>
            </w:pPr>
            <w:r>
              <w:rPr>
                <w:rFonts w:hint="eastAsia"/>
                <w:sz w:val="21"/>
                <w:szCs w:val="21"/>
                <w:lang w:val="en-US" w:eastAsia="zh-CN"/>
              </w:rPr>
              <w:t>3.根据投标人提供的用餐地点、食品安全保障措施，菜品（附菜品图片，如无不得分）搭配合理性、就餐环境等进行打分0-4分；餐标安排进行打分0-4分。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406" w:type="pct"/>
            <w:vMerge w:val="continue"/>
            <w:noWrap w:val="0"/>
            <w:vAlign w:val="center"/>
          </w:tcPr>
          <w:p>
            <w:pPr>
              <w:pStyle w:val="58"/>
              <w:jc w:val="center"/>
              <w:rPr>
                <w:rFonts w:hint="eastAsia"/>
                <w:sz w:val="21"/>
                <w:szCs w:val="21"/>
              </w:rPr>
            </w:pPr>
          </w:p>
        </w:tc>
        <w:tc>
          <w:tcPr>
            <w:tcW w:w="646" w:type="pct"/>
            <w:vMerge w:val="continue"/>
            <w:noWrap w:val="0"/>
            <w:vAlign w:val="center"/>
          </w:tcPr>
          <w:p>
            <w:pPr>
              <w:pStyle w:val="58"/>
              <w:jc w:val="center"/>
              <w:rPr>
                <w:rFonts w:hint="eastAsia"/>
                <w:sz w:val="21"/>
                <w:szCs w:val="21"/>
              </w:rPr>
            </w:pPr>
          </w:p>
        </w:tc>
        <w:tc>
          <w:tcPr>
            <w:tcW w:w="910" w:type="pct"/>
            <w:vMerge w:val="continue"/>
            <w:noWrap w:val="0"/>
            <w:vAlign w:val="center"/>
          </w:tcPr>
          <w:p>
            <w:pPr>
              <w:pStyle w:val="58"/>
              <w:jc w:val="center"/>
              <w:rPr>
                <w:rFonts w:hint="eastAsia"/>
                <w:sz w:val="21"/>
                <w:szCs w:val="21"/>
              </w:rPr>
            </w:pPr>
          </w:p>
        </w:tc>
        <w:tc>
          <w:tcPr>
            <w:tcW w:w="878" w:type="pct"/>
            <w:noWrap w:val="0"/>
            <w:vAlign w:val="center"/>
          </w:tcPr>
          <w:p>
            <w:pPr>
              <w:pStyle w:val="58"/>
              <w:jc w:val="center"/>
              <w:rPr>
                <w:rFonts w:hint="eastAsia"/>
                <w:sz w:val="21"/>
                <w:szCs w:val="21"/>
                <w:lang w:val="en-US" w:eastAsia="zh-CN"/>
              </w:rPr>
            </w:pPr>
            <w:r>
              <w:rPr>
                <w:rFonts w:hint="eastAsia"/>
                <w:sz w:val="21"/>
                <w:szCs w:val="21"/>
                <w:lang w:val="en-US" w:eastAsia="zh-CN"/>
              </w:rPr>
              <w:t>保险</w:t>
            </w:r>
          </w:p>
          <w:p>
            <w:pPr>
              <w:pStyle w:val="58"/>
              <w:jc w:val="center"/>
              <w:rPr>
                <w:rFonts w:hint="eastAsia"/>
                <w:sz w:val="21"/>
                <w:szCs w:val="21"/>
                <w:lang w:val="en-US" w:eastAsia="zh-CN"/>
              </w:rPr>
            </w:pPr>
            <w:r>
              <w:rPr>
                <w:rFonts w:hint="eastAsia"/>
                <w:sz w:val="21"/>
                <w:szCs w:val="21"/>
                <w:lang w:val="en-US" w:eastAsia="zh-CN"/>
              </w:rPr>
              <w:t>（0-4分）</w:t>
            </w:r>
          </w:p>
        </w:tc>
        <w:tc>
          <w:tcPr>
            <w:tcW w:w="2157" w:type="pct"/>
            <w:noWrap w:val="0"/>
            <w:vAlign w:val="center"/>
          </w:tcPr>
          <w:p>
            <w:pPr>
              <w:pStyle w:val="58"/>
              <w:jc w:val="both"/>
              <w:rPr>
                <w:rFonts w:hint="eastAsia"/>
                <w:sz w:val="21"/>
                <w:szCs w:val="21"/>
              </w:rPr>
            </w:pPr>
            <w:r>
              <w:rPr>
                <w:rFonts w:hint="eastAsia"/>
                <w:sz w:val="21"/>
                <w:szCs w:val="21"/>
                <w:lang w:val="en-US" w:eastAsia="zh-CN"/>
              </w:rPr>
              <w:t>4.旅行社责任险（保额100万元/人）得1分，每增加100万元加1分，满分2分；职工疗休养专用意外保险（保额100万元/人）得1分，每增加100万元加1分，满分2分；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406" w:type="pct"/>
            <w:vMerge w:val="continue"/>
            <w:noWrap w:val="0"/>
            <w:vAlign w:val="center"/>
          </w:tcPr>
          <w:p>
            <w:pPr>
              <w:pStyle w:val="58"/>
              <w:jc w:val="center"/>
              <w:rPr>
                <w:rFonts w:hint="eastAsia"/>
                <w:sz w:val="21"/>
                <w:szCs w:val="21"/>
              </w:rPr>
            </w:pPr>
          </w:p>
        </w:tc>
        <w:tc>
          <w:tcPr>
            <w:tcW w:w="646" w:type="pct"/>
            <w:vMerge w:val="continue"/>
            <w:noWrap w:val="0"/>
            <w:vAlign w:val="center"/>
          </w:tcPr>
          <w:p>
            <w:pPr>
              <w:pStyle w:val="58"/>
              <w:jc w:val="center"/>
              <w:rPr>
                <w:rFonts w:hint="eastAsia"/>
                <w:sz w:val="21"/>
                <w:szCs w:val="21"/>
              </w:rPr>
            </w:pPr>
          </w:p>
        </w:tc>
        <w:tc>
          <w:tcPr>
            <w:tcW w:w="910" w:type="pct"/>
            <w:vMerge w:val="continue"/>
            <w:noWrap w:val="0"/>
            <w:vAlign w:val="center"/>
          </w:tcPr>
          <w:p>
            <w:pPr>
              <w:pStyle w:val="58"/>
              <w:jc w:val="center"/>
              <w:rPr>
                <w:rFonts w:hint="eastAsia"/>
                <w:sz w:val="21"/>
                <w:szCs w:val="21"/>
              </w:rPr>
            </w:pPr>
          </w:p>
        </w:tc>
        <w:tc>
          <w:tcPr>
            <w:tcW w:w="878" w:type="pct"/>
            <w:noWrap w:val="0"/>
            <w:vAlign w:val="center"/>
          </w:tcPr>
          <w:p>
            <w:pPr>
              <w:pStyle w:val="58"/>
              <w:jc w:val="center"/>
              <w:rPr>
                <w:rFonts w:hint="eastAsia"/>
                <w:sz w:val="21"/>
                <w:szCs w:val="21"/>
                <w:lang w:val="en-US" w:eastAsia="zh-CN"/>
              </w:rPr>
            </w:pPr>
            <w:r>
              <w:rPr>
                <w:rFonts w:hint="eastAsia"/>
                <w:sz w:val="21"/>
                <w:szCs w:val="21"/>
                <w:lang w:val="en-US" w:eastAsia="zh-CN"/>
              </w:rPr>
              <w:t>其他优惠及增值服务承诺</w:t>
            </w:r>
          </w:p>
          <w:p>
            <w:pPr>
              <w:pStyle w:val="58"/>
              <w:jc w:val="center"/>
              <w:rPr>
                <w:rFonts w:hint="eastAsia"/>
                <w:sz w:val="21"/>
                <w:szCs w:val="21"/>
                <w:lang w:val="en-US" w:eastAsia="zh-CN"/>
              </w:rPr>
            </w:pPr>
            <w:r>
              <w:rPr>
                <w:rFonts w:hint="eastAsia"/>
                <w:sz w:val="21"/>
                <w:szCs w:val="21"/>
                <w:lang w:val="en-US" w:eastAsia="zh-CN"/>
              </w:rPr>
              <w:t>（0-3分）</w:t>
            </w:r>
          </w:p>
        </w:tc>
        <w:tc>
          <w:tcPr>
            <w:tcW w:w="2157" w:type="pct"/>
            <w:noWrap w:val="0"/>
            <w:vAlign w:val="center"/>
          </w:tcPr>
          <w:p>
            <w:pPr>
              <w:pStyle w:val="58"/>
              <w:jc w:val="both"/>
              <w:rPr>
                <w:rFonts w:hint="eastAsia"/>
                <w:sz w:val="21"/>
                <w:szCs w:val="21"/>
              </w:rPr>
            </w:pPr>
            <w:r>
              <w:rPr>
                <w:rFonts w:hint="eastAsia"/>
                <w:sz w:val="21"/>
                <w:szCs w:val="21"/>
                <w:lang w:val="en-US" w:eastAsia="zh-CN"/>
              </w:rPr>
              <w:t>5.其他优惠措施方案及增值服务承诺，由评标委员会认定，每满足一项得1分，最高得3分；承诺书格式自拟，无承诺不得分。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06" w:type="pct"/>
            <w:noWrap w:val="0"/>
            <w:vAlign w:val="center"/>
          </w:tcPr>
          <w:p>
            <w:pPr>
              <w:pStyle w:val="58"/>
              <w:jc w:val="center"/>
              <w:rPr>
                <w:rFonts w:hint="eastAsia" w:eastAsia="宋体"/>
                <w:sz w:val="21"/>
                <w:szCs w:val="21"/>
                <w:lang w:eastAsia="zh-CN"/>
              </w:rPr>
            </w:pPr>
            <w:r>
              <w:rPr>
                <w:rFonts w:hint="eastAsia"/>
                <w:sz w:val="21"/>
                <w:szCs w:val="21"/>
                <w:lang w:val="en-US" w:eastAsia="zh-CN"/>
              </w:rPr>
              <w:t>2</w:t>
            </w:r>
          </w:p>
        </w:tc>
        <w:tc>
          <w:tcPr>
            <w:tcW w:w="646" w:type="pct"/>
            <w:vMerge w:val="continue"/>
            <w:noWrap w:val="0"/>
            <w:vAlign w:val="center"/>
          </w:tcPr>
          <w:p>
            <w:pPr>
              <w:pStyle w:val="58"/>
              <w:jc w:val="center"/>
              <w:rPr>
                <w:rFonts w:hint="eastAsia"/>
                <w:sz w:val="21"/>
                <w:szCs w:val="21"/>
              </w:rPr>
            </w:pPr>
          </w:p>
        </w:tc>
        <w:tc>
          <w:tcPr>
            <w:tcW w:w="910" w:type="pct"/>
            <w:noWrap w:val="0"/>
            <w:vAlign w:val="center"/>
          </w:tcPr>
          <w:p>
            <w:pPr>
              <w:pStyle w:val="58"/>
              <w:jc w:val="center"/>
              <w:rPr>
                <w:rFonts w:hint="eastAsia"/>
                <w:sz w:val="21"/>
                <w:szCs w:val="21"/>
              </w:rPr>
            </w:pPr>
            <w:r>
              <w:rPr>
                <w:rFonts w:hint="eastAsia"/>
                <w:sz w:val="21"/>
                <w:szCs w:val="21"/>
              </w:rPr>
              <w:t>项目重点难点分析及对应的解决方案</w:t>
            </w:r>
          </w:p>
          <w:p>
            <w:pPr>
              <w:pStyle w:val="58"/>
              <w:jc w:val="center"/>
              <w:rPr>
                <w:rFonts w:hint="eastAsia"/>
                <w:sz w:val="21"/>
                <w:szCs w:val="21"/>
              </w:rPr>
            </w:pPr>
            <w:r>
              <w:rPr>
                <w:rFonts w:hint="eastAsia"/>
                <w:sz w:val="21"/>
                <w:szCs w:val="21"/>
              </w:rPr>
              <w:t>（0-10分）</w:t>
            </w:r>
          </w:p>
        </w:tc>
        <w:tc>
          <w:tcPr>
            <w:tcW w:w="3036" w:type="pct"/>
            <w:gridSpan w:val="2"/>
            <w:noWrap w:val="0"/>
            <w:vAlign w:val="center"/>
          </w:tcPr>
          <w:p>
            <w:pPr>
              <w:pStyle w:val="58"/>
              <w:jc w:val="both"/>
              <w:rPr>
                <w:rFonts w:hint="eastAsia"/>
                <w:sz w:val="21"/>
                <w:szCs w:val="21"/>
              </w:rPr>
            </w:pPr>
            <w:r>
              <w:rPr>
                <w:rFonts w:hint="eastAsia"/>
                <w:sz w:val="21"/>
                <w:szCs w:val="21"/>
              </w:rPr>
              <w:t>针对项目重点难点分析及对应的解决方案，包括安防控制措施、突发事件处置、应急预案等，评审小组进行综合评分：A类10-6.7分；B类6.6-3.4分；C类3.3-0分，在该类别分值范围内由评审小组成员分别打分。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06" w:type="pct"/>
            <w:noWrap w:val="0"/>
            <w:vAlign w:val="center"/>
          </w:tcPr>
          <w:p>
            <w:pPr>
              <w:pStyle w:val="58"/>
              <w:jc w:val="center"/>
              <w:rPr>
                <w:rFonts w:hint="eastAsia" w:eastAsia="宋体"/>
                <w:sz w:val="21"/>
                <w:szCs w:val="21"/>
                <w:lang w:eastAsia="zh-CN"/>
              </w:rPr>
            </w:pPr>
            <w:r>
              <w:rPr>
                <w:rFonts w:hint="eastAsia"/>
                <w:sz w:val="21"/>
                <w:szCs w:val="21"/>
                <w:lang w:val="en-US" w:eastAsia="zh-CN"/>
              </w:rPr>
              <w:t>3</w:t>
            </w:r>
          </w:p>
        </w:tc>
        <w:tc>
          <w:tcPr>
            <w:tcW w:w="646" w:type="pct"/>
            <w:vMerge w:val="continue"/>
            <w:noWrap w:val="0"/>
            <w:vAlign w:val="center"/>
          </w:tcPr>
          <w:p>
            <w:pPr>
              <w:pStyle w:val="58"/>
              <w:jc w:val="center"/>
              <w:rPr>
                <w:rFonts w:hint="eastAsia"/>
                <w:sz w:val="21"/>
                <w:szCs w:val="21"/>
              </w:rPr>
            </w:pPr>
          </w:p>
        </w:tc>
        <w:tc>
          <w:tcPr>
            <w:tcW w:w="910" w:type="pct"/>
            <w:noWrap w:val="0"/>
            <w:vAlign w:val="center"/>
          </w:tcPr>
          <w:p>
            <w:pPr>
              <w:pStyle w:val="58"/>
              <w:jc w:val="center"/>
              <w:rPr>
                <w:rFonts w:hint="eastAsia"/>
                <w:sz w:val="21"/>
                <w:szCs w:val="21"/>
              </w:rPr>
            </w:pPr>
            <w:r>
              <w:rPr>
                <w:rFonts w:hint="eastAsia"/>
                <w:sz w:val="21"/>
                <w:szCs w:val="21"/>
              </w:rPr>
              <w:t>服务标准</w:t>
            </w:r>
          </w:p>
          <w:p>
            <w:pPr>
              <w:pStyle w:val="58"/>
              <w:jc w:val="center"/>
              <w:rPr>
                <w:rFonts w:hint="eastAsia"/>
                <w:sz w:val="21"/>
                <w:szCs w:val="21"/>
              </w:rPr>
            </w:pPr>
            <w:r>
              <w:rPr>
                <w:rFonts w:hint="eastAsia"/>
                <w:sz w:val="21"/>
                <w:szCs w:val="21"/>
              </w:rPr>
              <w:t>（0-10分）</w:t>
            </w:r>
          </w:p>
        </w:tc>
        <w:tc>
          <w:tcPr>
            <w:tcW w:w="3036" w:type="pct"/>
            <w:gridSpan w:val="2"/>
            <w:noWrap w:val="0"/>
            <w:vAlign w:val="center"/>
          </w:tcPr>
          <w:p>
            <w:pPr>
              <w:pStyle w:val="58"/>
              <w:jc w:val="both"/>
              <w:rPr>
                <w:rFonts w:hint="eastAsia"/>
                <w:sz w:val="21"/>
                <w:szCs w:val="21"/>
              </w:rPr>
            </w:pPr>
            <w:r>
              <w:rPr>
                <w:rFonts w:hint="eastAsia"/>
                <w:sz w:val="21"/>
                <w:szCs w:val="21"/>
              </w:rPr>
              <w:t>供应商承诺提供全程正规旅游车队宇通牌、金龙牌、青年牌、奔驰牌或以上品牌的</w:t>
            </w:r>
            <w:r>
              <w:rPr>
                <w:rFonts w:hint="eastAsia"/>
                <w:sz w:val="21"/>
                <w:szCs w:val="21"/>
                <w:lang w:val="en-US" w:eastAsia="zh-CN"/>
              </w:rPr>
              <w:t>五</w:t>
            </w:r>
            <w:r>
              <w:rPr>
                <w:rFonts w:hint="eastAsia"/>
                <w:sz w:val="21"/>
                <w:szCs w:val="21"/>
              </w:rPr>
              <w:t>年内空调旅游车，得5分【提供双方签定的租用协议</w:t>
            </w:r>
            <w:r>
              <w:rPr>
                <w:rFonts w:hint="eastAsia"/>
                <w:sz w:val="21"/>
                <w:szCs w:val="21"/>
                <w:lang w:val="en-US" w:eastAsia="zh-CN"/>
              </w:rPr>
              <w:t>复印件</w:t>
            </w:r>
            <w:r>
              <w:rPr>
                <w:rFonts w:hint="eastAsia"/>
                <w:sz w:val="21"/>
                <w:szCs w:val="21"/>
              </w:rPr>
              <w:t>、行驶证或相关证明复印件】；供应商承诺所有正餐（中、晚餐）用餐标准每人每日在100元（含）以上得5分。（当日无晚餐的，增加在中餐）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406" w:type="pct"/>
            <w:noWrap w:val="0"/>
            <w:vAlign w:val="center"/>
          </w:tcPr>
          <w:p>
            <w:pPr>
              <w:pStyle w:val="58"/>
              <w:jc w:val="center"/>
              <w:rPr>
                <w:rFonts w:hint="eastAsia" w:eastAsia="宋体"/>
                <w:sz w:val="21"/>
                <w:szCs w:val="21"/>
                <w:lang w:eastAsia="zh-CN"/>
              </w:rPr>
            </w:pPr>
            <w:r>
              <w:rPr>
                <w:rFonts w:hint="eastAsia"/>
                <w:sz w:val="21"/>
                <w:szCs w:val="21"/>
                <w:lang w:val="en-US" w:eastAsia="zh-CN"/>
              </w:rPr>
              <w:t>4</w:t>
            </w:r>
          </w:p>
        </w:tc>
        <w:tc>
          <w:tcPr>
            <w:tcW w:w="646" w:type="pct"/>
            <w:vMerge w:val="continue"/>
            <w:noWrap w:val="0"/>
            <w:vAlign w:val="center"/>
          </w:tcPr>
          <w:p>
            <w:pPr>
              <w:pStyle w:val="58"/>
              <w:jc w:val="center"/>
              <w:rPr>
                <w:rFonts w:hint="eastAsia"/>
                <w:sz w:val="21"/>
                <w:szCs w:val="21"/>
              </w:rPr>
            </w:pPr>
          </w:p>
        </w:tc>
        <w:tc>
          <w:tcPr>
            <w:tcW w:w="910" w:type="pct"/>
            <w:noWrap w:val="0"/>
            <w:vAlign w:val="center"/>
          </w:tcPr>
          <w:p>
            <w:pPr>
              <w:pStyle w:val="58"/>
              <w:jc w:val="center"/>
              <w:rPr>
                <w:rFonts w:hint="eastAsia"/>
                <w:sz w:val="21"/>
                <w:szCs w:val="21"/>
              </w:rPr>
            </w:pPr>
            <w:r>
              <w:rPr>
                <w:rFonts w:hint="eastAsia"/>
                <w:sz w:val="21"/>
                <w:szCs w:val="21"/>
              </w:rPr>
              <w:t>技术力量和人力资源安排</w:t>
            </w:r>
          </w:p>
          <w:p>
            <w:pPr>
              <w:pStyle w:val="58"/>
              <w:jc w:val="center"/>
              <w:rPr>
                <w:rFonts w:hint="eastAsia"/>
                <w:sz w:val="21"/>
                <w:szCs w:val="21"/>
              </w:rPr>
            </w:pPr>
            <w:r>
              <w:rPr>
                <w:rFonts w:hint="eastAsia"/>
                <w:sz w:val="21"/>
                <w:szCs w:val="21"/>
              </w:rPr>
              <w:t>（0-7分）</w:t>
            </w:r>
          </w:p>
        </w:tc>
        <w:tc>
          <w:tcPr>
            <w:tcW w:w="3036" w:type="pct"/>
            <w:gridSpan w:val="2"/>
            <w:noWrap w:val="0"/>
            <w:vAlign w:val="center"/>
          </w:tcPr>
          <w:p>
            <w:pPr>
              <w:pStyle w:val="58"/>
              <w:jc w:val="both"/>
              <w:rPr>
                <w:rFonts w:hint="eastAsia"/>
                <w:sz w:val="21"/>
                <w:szCs w:val="21"/>
              </w:rPr>
            </w:pPr>
            <w:r>
              <w:rPr>
                <w:rFonts w:hint="eastAsia"/>
                <w:sz w:val="21"/>
                <w:szCs w:val="21"/>
              </w:rPr>
              <w:t>根据保证项目实施的技术力量和人力资源安排情况，包括项目负责人、项目组配备成员的相关职称、执业证书、岗位培训证书、工作经验等，评审小组进行综合评分：A类7-4.1分；B类4-2.1分；C类2-0分，在该类别分值范围内由评审小组成员分别打分。（提供项目负责人和项目组成员相关证书复印件及最近一个季度依法缴纳社会保险费证明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406" w:type="pct"/>
            <w:noWrap w:val="0"/>
            <w:vAlign w:val="center"/>
          </w:tcPr>
          <w:p>
            <w:pPr>
              <w:pStyle w:val="58"/>
              <w:jc w:val="center"/>
              <w:rPr>
                <w:rFonts w:hint="eastAsia" w:eastAsia="宋体"/>
                <w:sz w:val="21"/>
                <w:szCs w:val="21"/>
                <w:lang w:eastAsia="zh-CN"/>
              </w:rPr>
            </w:pPr>
            <w:r>
              <w:rPr>
                <w:rFonts w:hint="eastAsia"/>
                <w:sz w:val="21"/>
                <w:szCs w:val="21"/>
                <w:lang w:val="en-US" w:eastAsia="zh-CN"/>
              </w:rPr>
              <w:t>5</w:t>
            </w:r>
          </w:p>
        </w:tc>
        <w:tc>
          <w:tcPr>
            <w:tcW w:w="646" w:type="pct"/>
            <w:vMerge w:val="continue"/>
            <w:noWrap w:val="0"/>
            <w:vAlign w:val="center"/>
          </w:tcPr>
          <w:p>
            <w:pPr>
              <w:pStyle w:val="58"/>
              <w:jc w:val="center"/>
              <w:rPr>
                <w:rFonts w:hint="eastAsia"/>
                <w:sz w:val="21"/>
                <w:szCs w:val="21"/>
              </w:rPr>
            </w:pPr>
          </w:p>
        </w:tc>
        <w:tc>
          <w:tcPr>
            <w:tcW w:w="910" w:type="pct"/>
            <w:noWrap w:val="0"/>
            <w:vAlign w:val="center"/>
          </w:tcPr>
          <w:p>
            <w:pPr>
              <w:pStyle w:val="58"/>
              <w:jc w:val="center"/>
              <w:rPr>
                <w:rFonts w:hint="eastAsia"/>
                <w:sz w:val="21"/>
                <w:szCs w:val="21"/>
              </w:rPr>
            </w:pPr>
            <w:r>
              <w:rPr>
                <w:rFonts w:hint="eastAsia"/>
                <w:sz w:val="21"/>
                <w:szCs w:val="21"/>
              </w:rPr>
              <w:t>导游资源（0-5分）</w:t>
            </w:r>
          </w:p>
        </w:tc>
        <w:tc>
          <w:tcPr>
            <w:tcW w:w="3036" w:type="pct"/>
            <w:gridSpan w:val="2"/>
            <w:noWrap w:val="0"/>
            <w:vAlign w:val="center"/>
          </w:tcPr>
          <w:p>
            <w:pPr>
              <w:pStyle w:val="58"/>
              <w:jc w:val="both"/>
              <w:rPr>
                <w:rFonts w:hint="eastAsia"/>
                <w:sz w:val="21"/>
                <w:szCs w:val="21"/>
              </w:rPr>
            </w:pPr>
            <w:r>
              <w:rPr>
                <w:rFonts w:hint="eastAsia"/>
                <w:sz w:val="21"/>
                <w:szCs w:val="21"/>
              </w:rPr>
              <w:t>投标人投入本项目的导游人数，导游3人及以上的得3分，每增加1人加1分，最多加</w:t>
            </w:r>
            <w:r>
              <w:rPr>
                <w:rFonts w:hint="eastAsia"/>
                <w:sz w:val="21"/>
                <w:szCs w:val="21"/>
                <w:lang w:val="en-US" w:eastAsia="zh-CN"/>
              </w:rPr>
              <w:t>2</w:t>
            </w:r>
            <w:r>
              <w:rPr>
                <w:rFonts w:hint="eastAsia"/>
                <w:sz w:val="21"/>
                <w:szCs w:val="21"/>
              </w:rPr>
              <w:t>分，本小项最多得</w:t>
            </w:r>
            <w:r>
              <w:rPr>
                <w:rFonts w:hint="eastAsia"/>
                <w:sz w:val="21"/>
                <w:szCs w:val="21"/>
                <w:lang w:val="en-US" w:eastAsia="zh-CN"/>
              </w:rPr>
              <w:t>5</w:t>
            </w:r>
            <w:r>
              <w:rPr>
                <w:rFonts w:hint="eastAsia"/>
                <w:sz w:val="21"/>
                <w:szCs w:val="21"/>
              </w:rPr>
              <w:t>分。</w:t>
            </w:r>
            <w:r>
              <w:rPr>
                <w:rFonts w:hint="eastAsia"/>
                <w:sz w:val="21"/>
                <w:szCs w:val="21"/>
                <w:lang w:eastAsia="zh-CN"/>
              </w:rPr>
              <w:t>（投标文件中需</w:t>
            </w:r>
            <w:r>
              <w:rPr>
                <w:rFonts w:hint="eastAsia"/>
                <w:sz w:val="21"/>
                <w:szCs w:val="21"/>
              </w:rPr>
              <w:t>提供导游资格证书证明材料复印件或扫描件并加盖公章及近6个月缴纳社保证明材料复印件或扫描件并加盖公章</w:t>
            </w:r>
            <w:r>
              <w:rPr>
                <w:rFonts w:hint="eastAsia"/>
                <w:sz w:val="21"/>
                <w:szCs w:val="21"/>
                <w:lang w:eastAsia="zh-CN"/>
              </w:rPr>
              <w:t>，否则不得分</w:t>
            </w:r>
            <w:r>
              <w:rPr>
                <w:rFonts w:hint="eastAsia"/>
                <w:sz w:val="21"/>
                <w:szCs w:val="21"/>
              </w:rPr>
              <w:t>。</w:t>
            </w:r>
            <w:r>
              <w:rPr>
                <w:rFonts w:hint="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406" w:type="pct"/>
            <w:noWrap w:val="0"/>
            <w:vAlign w:val="center"/>
          </w:tcPr>
          <w:p>
            <w:pPr>
              <w:pStyle w:val="58"/>
              <w:jc w:val="center"/>
              <w:rPr>
                <w:rFonts w:hint="eastAsia" w:eastAsia="宋体"/>
                <w:sz w:val="21"/>
                <w:szCs w:val="21"/>
                <w:lang w:eastAsia="zh-CN"/>
              </w:rPr>
            </w:pPr>
            <w:r>
              <w:rPr>
                <w:rFonts w:hint="eastAsia"/>
                <w:sz w:val="21"/>
                <w:szCs w:val="21"/>
                <w:lang w:val="en-US" w:eastAsia="zh-CN"/>
              </w:rPr>
              <w:t>6</w:t>
            </w:r>
          </w:p>
        </w:tc>
        <w:tc>
          <w:tcPr>
            <w:tcW w:w="646" w:type="pct"/>
            <w:vMerge w:val="continue"/>
            <w:noWrap w:val="0"/>
            <w:vAlign w:val="center"/>
          </w:tcPr>
          <w:p>
            <w:pPr>
              <w:pStyle w:val="58"/>
              <w:jc w:val="center"/>
              <w:rPr>
                <w:rFonts w:hint="eastAsia"/>
                <w:sz w:val="21"/>
                <w:szCs w:val="21"/>
              </w:rPr>
            </w:pPr>
          </w:p>
        </w:tc>
        <w:tc>
          <w:tcPr>
            <w:tcW w:w="910" w:type="pct"/>
            <w:noWrap w:val="0"/>
            <w:vAlign w:val="center"/>
          </w:tcPr>
          <w:p>
            <w:pPr>
              <w:pStyle w:val="58"/>
              <w:jc w:val="center"/>
              <w:rPr>
                <w:rFonts w:hint="eastAsia"/>
                <w:sz w:val="21"/>
                <w:szCs w:val="21"/>
              </w:rPr>
            </w:pPr>
            <w:r>
              <w:rPr>
                <w:rFonts w:hint="eastAsia"/>
                <w:sz w:val="21"/>
                <w:szCs w:val="21"/>
              </w:rPr>
              <w:t>合理化建议</w:t>
            </w:r>
          </w:p>
          <w:p>
            <w:pPr>
              <w:pStyle w:val="58"/>
              <w:jc w:val="center"/>
              <w:rPr>
                <w:rFonts w:hint="eastAsia"/>
                <w:sz w:val="21"/>
                <w:szCs w:val="21"/>
              </w:rPr>
            </w:pPr>
            <w:r>
              <w:rPr>
                <w:rFonts w:hint="eastAsia"/>
                <w:sz w:val="21"/>
                <w:szCs w:val="21"/>
              </w:rPr>
              <w:t>（0-5分）</w:t>
            </w:r>
          </w:p>
        </w:tc>
        <w:tc>
          <w:tcPr>
            <w:tcW w:w="3036" w:type="pct"/>
            <w:gridSpan w:val="2"/>
            <w:noWrap w:val="0"/>
            <w:vAlign w:val="center"/>
          </w:tcPr>
          <w:p>
            <w:pPr>
              <w:pStyle w:val="58"/>
              <w:jc w:val="both"/>
              <w:rPr>
                <w:rFonts w:hint="eastAsia"/>
                <w:sz w:val="21"/>
                <w:szCs w:val="21"/>
              </w:rPr>
            </w:pPr>
            <w:r>
              <w:rPr>
                <w:rFonts w:hint="eastAsia"/>
                <w:sz w:val="21"/>
                <w:szCs w:val="21"/>
              </w:rPr>
              <w:t>针对本项目的合理化建议，评审小组进行综合评分：A类5-3.1分；B类3-2.1分；C类2-0分，由评审小组成员分别打分。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406" w:type="pct"/>
            <w:noWrap w:val="0"/>
            <w:vAlign w:val="center"/>
          </w:tcPr>
          <w:p>
            <w:pPr>
              <w:pStyle w:val="58"/>
              <w:jc w:val="center"/>
              <w:rPr>
                <w:rFonts w:hint="eastAsia" w:eastAsia="宋体"/>
                <w:sz w:val="21"/>
                <w:szCs w:val="21"/>
                <w:lang w:eastAsia="zh-CN"/>
              </w:rPr>
            </w:pPr>
            <w:r>
              <w:rPr>
                <w:rFonts w:hint="eastAsia"/>
                <w:sz w:val="21"/>
                <w:szCs w:val="21"/>
                <w:lang w:val="en-US" w:eastAsia="zh-CN"/>
              </w:rPr>
              <w:t>7</w:t>
            </w:r>
          </w:p>
        </w:tc>
        <w:tc>
          <w:tcPr>
            <w:tcW w:w="646" w:type="pct"/>
            <w:vMerge w:val="restart"/>
            <w:noWrap w:val="0"/>
            <w:vAlign w:val="center"/>
          </w:tcPr>
          <w:p>
            <w:pPr>
              <w:pStyle w:val="58"/>
              <w:jc w:val="center"/>
              <w:rPr>
                <w:rFonts w:hint="eastAsia"/>
                <w:sz w:val="21"/>
                <w:szCs w:val="21"/>
              </w:rPr>
            </w:pPr>
            <w:r>
              <w:rPr>
                <w:rFonts w:hint="eastAsia"/>
                <w:sz w:val="21"/>
                <w:szCs w:val="21"/>
              </w:rPr>
              <w:t>商务</w:t>
            </w:r>
            <w:r>
              <w:rPr>
                <w:rFonts w:hint="eastAsia"/>
                <w:sz w:val="21"/>
                <w:szCs w:val="21"/>
                <w:lang w:eastAsia="zh-CN"/>
              </w:rPr>
              <w:t>、</w:t>
            </w:r>
            <w:r>
              <w:rPr>
                <w:rFonts w:hint="eastAsia"/>
                <w:sz w:val="21"/>
                <w:szCs w:val="21"/>
              </w:rPr>
              <w:t>资信及其它</w:t>
            </w:r>
          </w:p>
          <w:p>
            <w:pPr>
              <w:pStyle w:val="58"/>
              <w:jc w:val="center"/>
              <w:rPr>
                <w:rFonts w:hint="eastAsia"/>
                <w:sz w:val="21"/>
                <w:szCs w:val="21"/>
              </w:rPr>
            </w:pPr>
            <w:r>
              <w:rPr>
                <w:rFonts w:hint="eastAsia"/>
                <w:sz w:val="21"/>
                <w:szCs w:val="21"/>
              </w:rPr>
              <w:t>（33分）</w:t>
            </w:r>
          </w:p>
        </w:tc>
        <w:tc>
          <w:tcPr>
            <w:tcW w:w="910" w:type="pct"/>
            <w:noWrap w:val="0"/>
            <w:vAlign w:val="center"/>
          </w:tcPr>
          <w:p>
            <w:pPr>
              <w:pStyle w:val="58"/>
              <w:jc w:val="center"/>
              <w:rPr>
                <w:rFonts w:hint="eastAsia"/>
                <w:sz w:val="21"/>
                <w:szCs w:val="21"/>
              </w:rPr>
            </w:pPr>
            <w:r>
              <w:rPr>
                <w:rFonts w:hint="eastAsia"/>
                <w:sz w:val="21"/>
                <w:szCs w:val="21"/>
              </w:rPr>
              <w:t>管理制度</w:t>
            </w:r>
          </w:p>
          <w:p>
            <w:pPr>
              <w:pStyle w:val="58"/>
              <w:jc w:val="center"/>
              <w:rPr>
                <w:rFonts w:hint="eastAsia"/>
                <w:sz w:val="21"/>
                <w:szCs w:val="21"/>
              </w:rPr>
            </w:pPr>
            <w:r>
              <w:rPr>
                <w:rFonts w:hint="eastAsia"/>
                <w:sz w:val="21"/>
                <w:szCs w:val="21"/>
              </w:rPr>
              <w:t>（0-5分）</w:t>
            </w:r>
          </w:p>
        </w:tc>
        <w:tc>
          <w:tcPr>
            <w:tcW w:w="3036" w:type="pct"/>
            <w:gridSpan w:val="2"/>
            <w:noWrap w:val="0"/>
            <w:vAlign w:val="center"/>
          </w:tcPr>
          <w:p>
            <w:pPr>
              <w:pStyle w:val="58"/>
              <w:jc w:val="both"/>
              <w:rPr>
                <w:rFonts w:hint="eastAsia"/>
                <w:sz w:val="21"/>
                <w:szCs w:val="21"/>
              </w:rPr>
            </w:pPr>
            <w:r>
              <w:rPr>
                <w:rFonts w:hint="eastAsia"/>
                <w:sz w:val="21"/>
                <w:szCs w:val="21"/>
              </w:rPr>
              <w:t>根据供应商是否建立健全各项岗位职责、经营管理制度、日常管理制度、财务管理、品牌管理、企业形象管理、安全管理、投诉管理、危机管理等情况打分。</w:t>
            </w:r>
          </w:p>
          <w:p>
            <w:pPr>
              <w:pStyle w:val="58"/>
              <w:jc w:val="both"/>
              <w:rPr>
                <w:rFonts w:hint="eastAsia"/>
                <w:sz w:val="21"/>
                <w:szCs w:val="21"/>
              </w:rPr>
            </w:pPr>
            <w:r>
              <w:rPr>
                <w:rFonts w:hint="eastAsia"/>
                <w:sz w:val="21"/>
                <w:szCs w:val="21"/>
              </w:rPr>
              <w:t>1.经营管理制度、日常管理制度、财务管理制度明确、详细合理的得</w:t>
            </w:r>
            <w:r>
              <w:rPr>
                <w:rFonts w:hint="eastAsia"/>
                <w:sz w:val="21"/>
                <w:szCs w:val="21"/>
                <w:lang w:val="en-US" w:eastAsia="zh-CN"/>
              </w:rPr>
              <w:t>3</w:t>
            </w:r>
            <w:r>
              <w:rPr>
                <w:rFonts w:hint="eastAsia"/>
                <w:sz w:val="21"/>
                <w:szCs w:val="21"/>
              </w:rPr>
              <w:t>分，欠佳的得</w:t>
            </w:r>
            <w:r>
              <w:rPr>
                <w:rFonts w:hint="eastAsia"/>
                <w:sz w:val="21"/>
                <w:szCs w:val="21"/>
                <w:lang w:val="en-US" w:eastAsia="zh-CN"/>
              </w:rPr>
              <w:t>2</w:t>
            </w:r>
            <w:r>
              <w:rPr>
                <w:rFonts w:hint="eastAsia"/>
                <w:sz w:val="21"/>
                <w:szCs w:val="21"/>
              </w:rPr>
              <w:t>分，不完善的不得分；</w:t>
            </w:r>
          </w:p>
          <w:p>
            <w:pPr>
              <w:pStyle w:val="58"/>
              <w:jc w:val="both"/>
              <w:rPr>
                <w:rFonts w:hint="eastAsia"/>
                <w:sz w:val="21"/>
                <w:szCs w:val="21"/>
              </w:rPr>
            </w:pPr>
            <w:r>
              <w:rPr>
                <w:rFonts w:hint="eastAsia"/>
                <w:sz w:val="21"/>
                <w:szCs w:val="21"/>
              </w:rPr>
              <w:t>2.安全管理、投诉管理、危机管理制度完善的得</w:t>
            </w:r>
            <w:r>
              <w:rPr>
                <w:rFonts w:hint="eastAsia"/>
                <w:sz w:val="21"/>
                <w:szCs w:val="21"/>
                <w:lang w:val="en-US" w:eastAsia="zh-CN"/>
              </w:rPr>
              <w:t>2</w:t>
            </w:r>
            <w:r>
              <w:rPr>
                <w:rFonts w:hint="eastAsia"/>
                <w:sz w:val="21"/>
                <w:szCs w:val="21"/>
              </w:rPr>
              <w:t>分；安全管理、投诉管理、危机管理制度有缺陷的得</w:t>
            </w:r>
            <w:r>
              <w:rPr>
                <w:rFonts w:hint="eastAsia"/>
                <w:sz w:val="21"/>
                <w:szCs w:val="21"/>
                <w:lang w:val="en-US" w:eastAsia="zh-CN"/>
              </w:rPr>
              <w:t>1</w:t>
            </w:r>
            <w:r>
              <w:rPr>
                <w:rFonts w:hint="eastAsia"/>
                <w:sz w:val="21"/>
                <w:szCs w:val="21"/>
              </w:rPr>
              <w:t>分；安全管理、投诉管理、危机管理制度不完善的不得分。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406" w:type="pct"/>
            <w:noWrap w:val="0"/>
            <w:vAlign w:val="center"/>
          </w:tcPr>
          <w:p>
            <w:pPr>
              <w:pStyle w:val="58"/>
              <w:jc w:val="center"/>
              <w:rPr>
                <w:rFonts w:hint="eastAsia" w:eastAsia="宋体"/>
                <w:sz w:val="21"/>
                <w:szCs w:val="21"/>
                <w:lang w:eastAsia="zh-CN"/>
              </w:rPr>
            </w:pPr>
            <w:r>
              <w:rPr>
                <w:rFonts w:hint="eastAsia"/>
                <w:sz w:val="21"/>
                <w:szCs w:val="21"/>
                <w:lang w:val="en-US" w:eastAsia="zh-CN"/>
              </w:rPr>
              <w:t>8</w:t>
            </w:r>
          </w:p>
        </w:tc>
        <w:tc>
          <w:tcPr>
            <w:tcW w:w="646" w:type="pct"/>
            <w:vMerge w:val="continue"/>
            <w:noWrap w:val="0"/>
            <w:vAlign w:val="center"/>
          </w:tcPr>
          <w:p>
            <w:pPr>
              <w:pStyle w:val="58"/>
              <w:jc w:val="center"/>
              <w:rPr>
                <w:rFonts w:hint="eastAsia"/>
                <w:sz w:val="21"/>
                <w:szCs w:val="21"/>
              </w:rPr>
            </w:pPr>
          </w:p>
        </w:tc>
        <w:tc>
          <w:tcPr>
            <w:tcW w:w="910" w:type="pct"/>
            <w:noWrap w:val="0"/>
            <w:vAlign w:val="center"/>
          </w:tcPr>
          <w:p>
            <w:pPr>
              <w:pStyle w:val="58"/>
              <w:jc w:val="center"/>
              <w:rPr>
                <w:rFonts w:hint="eastAsia"/>
                <w:sz w:val="21"/>
                <w:szCs w:val="21"/>
              </w:rPr>
            </w:pPr>
            <w:r>
              <w:rPr>
                <w:rFonts w:hint="eastAsia"/>
                <w:sz w:val="21"/>
                <w:szCs w:val="21"/>
              </w:rPr>
              <w:t>疗休养成功案例及业绩</w:t>
            </w:r>
          </w:p>
          <w:p>
            <w:pPr>
              <w:pStyle w:val="58"/>
              <w:jc w:val="center"/>
              <w:rPr>
                <w:rFonts w:hint="eastAsia"/>
                <w:sz w:val="21"/>
                <w:szCs w:val="21"/>
              </w:rPr>
            </w:pPr>
            <w:r>
              <w:rPr>
                <w:rFonts w:hint="eastAsia"/>
                <w:sz w:val="21"/>
                <w:szCs w:val="21"/>
              </w:rPr>
              <w:t>（0-5分）</w:t>
            </w:r>
          </w:p>
        </w:tc>
        <w:tc>
          <w:tcPr>
            <w:tcW w:w="3036" w:type="pct"/>
            <w:gridSpan w:val="2"/>
            <w:noWrap w:val="0"/>
            <w:vAlign w:val="center"/>
          </w:tcPr>
          <w:p>
            <w:pPr>
              <w:pStyle w:val="58"/>
              <w:jc w:val="both"/>
              <w:rPr>
                <w:rFonts w:hint="eastAsia"/>
                <w:sz w:val="21"/>
                <w:szCs w:val="21"/>
              </w:rPr>
            </w:pPr>
            <w:r>
              <w:rPr>
                <w:rFonts w:hint="eastAsia"/>
                <w:sz w:val="21"/>
                <w:szCs w:val="21"/>
              </w:rPr>
              <w:t>根据供应商提供2021年1月1日</w:t>
            </w:r>
            <w:r>
              <w:rPr>
                <w:rFonts w:hint="eastAsia"/>
                <w:sz w:val="21"/>
                <w:szCs w:val="21"/>
                <w:lang w:val="en-US" w:eastAsia="zh-CN"/>
              </w:rPr>
              <w:t>至今</w:t>
            </w:r>
            <w:r>
              <w:rPr>
                <w:rFonts w:hint="eastAsia"/>
                <w:sz w:val="21"/>
                <w:szCs w:val="21"/>
              </w:rPr>
              <w:t>成功实施的</w:t>
            </w:r>
            <w:r>
              <w:rPr>
                <w:rFonts w:hint="eastAsia"/>
                <w:sz w:val="21"/>
                <w:szCs w:val="21"/>
                <w:lang w:val="en-US" w:eastAsia="zh-CN"/>
              </w:rPr>
              <w:t>同类</w:t>
            </w:r>
            <w:r>
              <w:rPr>
                <w:rFonts w:hint="eastAsia"/>
                <w:sz w:val="21"/>
                <w:szCs w:val="21"/>
              </w:rPr>
              <w:t>疗休养项目的业绩或案例证明每个得1分，最高得5分。（提供项目业绩或案例证明</w:t>
            </w:r>
            <w:r>
              <w:rPr>
                <w:rFonts w:hint="eastAsia"/>
                <w:sz w:val="21"/>
                <w:szCs w:val="21"/>
                <w:lang w:val="en-US" w:eastAsia="zh-CN"/>
              </w:rPr>
              <w:t>并加盖公章</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406" w:type="pct"/>
            <w:noWrap w:val="0"/>
            <w:vAlign w:val="center"/>
          </w:tcPr>
          <w:p>
            <w:pPr>
              <w:pStyle w:val="58"/>
              <w:jc w:val="center"/>
              <w:rPr>
                <w:rFonts w:hint="eastAsia" w:eastAsia="宋体"/>
                <w:sz w:val="21"/>
                <w:szCs w:val="21"/>
                <w:lang w:eastAsia="zh-CN"/>
              </w:rPr>
            </w:pPr>
            <w:r>
              <w:rPr>
                <w:rFonts w:hint="eastAsia"/>
                <w:sz w:val="21"/>
                <w:szCs w:val="21"/>
                <w:lang w:val="en-US" w:eastAsia="zh-CN"/>
              </w:rPr>
              <w:t>9</w:t>
            </w:r>
          </w:p>
        </w:tc>
        <w:tc>
          <w:tcPr>
            <w:tcW w:w="646" w:type="pct"/>
            <w:vMerge w:val="continue"/>
            <w:noWrap w:val="0"/>
            <w:vAlign w:val="center"/>
          </w:tcPr>
          <w:p>
            <w:pPr>
              <w:pStyle w:val="58"/>
              <w:jc w:val="center"/>
              <w:rPr>
                <w:rFonts w:hint="eastAsia"/>
                <w:sz w:val="21"/>
                <w:szCs w:val="21"/>
              </w:rPr>
            </w:pPr>
          </w:p>
        </w:tc>
        <w:tc>
          <w:tcPr>
            <w:tcW w:w="910" w:type="pct"/>
            <w:noWrap w:val="0"/>
            <w:vAlign w:val="center"/>
          </w:tcPr>
          <w:p>
            <w:pPr>
              <w:pStyle w:val="58"/>
              <w:jc w:val="center"/>
              <w:rPr>
                <w:rFonts w:hint="eastAsia"/>
                <w:sz w:val="21"/>
                <w:szCs w:val="21"/>
              </w:rPr>
            </w:pPr>
            <w:r>
              <w:rPr>
                <w:rFonts w:hint="eastAsia"/>
                <w:sz w:val="21"/>
                <w:szCs w:val="21"/>
              </w:rPr>
              <w:t>旅行社质量等级</w:t>
            </w:r>
          </w:p>
          <w:p>
            <w:pPr>
              <w:pStyle w:val="58"/>
              <w:jc w:val="center"/>
              <w:rPr>
                <w:rFonts w:hint="eastAsia"/>
                <w:sz w:val="21"/>
                <w:szCs w:val="21"/>
              </w:rPr>
            </w:pPr>
            <w:r>
              <w:rPr>
                <w:rFonts w:hint="eastAsia"/>
                <w:sz w:val="21"/>
                <w:szCs w:val="21"/>
              </w:rPr>
              <w:t>（0-15分）</w:t>
            </w:r>
          </w:p>
        </w:tc>
        <w:tc>
          <w:tcPr>
            <w:tcW w:w="3036" w:type="pct"/>
            <w:gridSpan w:val="2"/>
            <w:noWrap w:val="0"/>
            <w:vAlign w:val="center"/>
          </w:tcPr>
          <w:p>
            <w:pPr>
              <w:pStyle w:val="58"/>
              <w:jc w:val="both"/>
              <w:rPr>
                <w:rFonts w:hint="eastAsia"/>
                <w:sz w:val="21"/>
                <w:szCs w:val="21"/>
              </w:rPr>
            </w:pPr>
            <w:r>
              <w:rPr>
                <w:rFonts w:hint="eastAsia"/>
                <w:sz w:val="21"/>
                <w:szCs w:val="21"/>
              </w:rPr>
              <w:t>经旅游行政主管部门评定为★★★★★级的得15分；</w:t>
            </w:r>
          </w:p>
          <w:p>
            <w:pPr>
              <w:pStyle w:val="58"/>
              <w:jc w:val="both"/>
              <w:rPr>
                <w:rFonts w:hint="eastAsia"/>
                <w:sz w:val="21"/>
                <w:szCs w:val="21"/>
              </w:rPr>
            </w:pPr>
            <w:r>
              <w:rPr>
                <w:rFonts w:hint="eastAsia"/>
                <w:sz w:val="21"/>
                <w:szCs w:val="21"/>
              </w:rPr>
              <w:t>经旅游行政主管部门评定为★★★★级的得10分；</w:t>
            </w:r>
          </w:p>
          <w:p>
            <w:pPr>
              <w:pStyle w:val="58"/>
              <w:jc w:val="both"/>
              <w:rPr>
                <w:rFonts w:hint="eastAsia"/>
                <w:sz w:val="21"/>
                <w:szCs w:val="21"/>
              </w:rPr>
            </w:pPr>
            <w:r>
              <w:rPr>
                <w:rFonts w:hint="eastAsia"/>
                <w:sz w:val="21"/>
                <w:szCs w:val="21"/>
              </w:rPr>
              <w:t>经旅游行政主管部门评定为★★★级的得5分。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406" w:type="pct"/>
            <w:noWrap w:val="0"/>
            <w:vAlign w:val="center"/>
          </w:tcPr>
          <w:p>
            <w:pPr>
              <w:pStyle w:val="58"/>
              <w:jc w:val="center"/>
              <w:rPr>
                <w:rFonts w:hint="default" w:eastAsia="宋体"/>
                <w:sz w:val="21"/>
                <w:szCs w:val="21"/>
                <w:lang w:val="en-US" w:eastAsia="zh-CN"/>
              </w:rPr>
            </w:pPr>
            <w:r>
              <w:rPr>
                <w:rFonts w:hint="eastAsia"/>
                <w:sz w:val="21"/>
                <w:szCs w:val="21"/>
                <w:lang w:val="en-US" w:eastAsia="zh-CN"/>
              </w:rPr>
              <w:t>10</w:t>
            </w:r>
          </w:p>
        </w:tc>
        <w:tc>
          <w:tcPr>
            <w:tcW w:w="646" w:type="pct"/>
            <w:vMerge w:val="continue"/>
            <w:noWrap w:val="0"/>
            <w:vAlign w:val="center"/>
          </w:tcPr>
          <w:p>
            <w:pPr>
              <w:pStyle w:val="58"/>
              <w:jc w:val="center"/>
              <w:rPr>
                <w:rFonts w:hint="eastAsia"/>
                <w:sz w:val="21"/>
                <w:szCs w:val="21"/>
              </w:rPr>
            </w:pPr>
          </w:p>
        </w:tc>
        <w:tc>
          <w:tcPr>
            <w:tcW w:w="910" w:type="pct"/>
            <w:noWrap w:val="0"/>
            <w:vAlign w:val="center"/>
          </w:tcPr>
          <w:p>
            <w:pPr>
              <w:pStyle w:val="58"/>
              <w:jc w:val="center"/>
              <w:rPr>
                <w:rFonts w:hint="eastAsia"/>
                <w:sz w:val="21"/>
                <w:szCs w:val="21"/>
              </w:rPr>
            </w:pPr>
            <w:r>
              <w:rPr>
                <w:rFonts w:hint="eastAsia"/>
                <w:sz w:val="21"/>
                <w:szCs w:val="21"/>
              </w:rPr>
              <w:t>企业荣誉</w:t>
            </w:r>
          </w:p>
          <w:p>
            <w:pPr>
              <w:pStyle w:val="58"/>
              <w:jc w:val="center"/>
              <w:rPr>
                <w:rFonts w:hint="eastAsia"/>
                <w:sz w:val="21"/>
                <w:szCs w:val="21"/>
              </w:rPr>
            </w:pPr>
            <w:r>
              <w:rPr>
                <w:rFonts w:hint="eastAsia"/>
                <w:sz w:val="21"/>
                <w:szCs w:val="21"/>
              </w:rPr>
              <w:t>（0-8分）</w:t>
            </w:r>
          </w:p>
        </w:tc>
        <w:tc>
          <w:tcPr>
            <w:tcW w:w="3036" w:type="pct"/>
            <w:gridSpan w:val="2"/>
            <w:noWrap w:val="0"/>
            <w:vAlign w:val="center"/>
          </w:tcPr>
          <w:p>
            <w:pPr>
              <w:pStyle w:val="58"/>
              <w:jc w:val="both"/>
              <w:rPr>
                <w:rFonts w:hint="eastAsia"/>
                <w:sz w:val="21"/>
                <w:szCs w:val="21"/>
              </w:rPr>
            </w:pPr>
            <w:r>
              <w:rPr>
                <w:rFonts w:hint="eastAsia"/>
                <w:sz w:val="21"/>
                <w:szCs w:val="21"/>
              </w:rPr>
              <w:t>根据投标人2021年1月1日（获奖时间以证书时间为准）至今有效的政府行政职能部门或行业主管部门授予的投标企业荣誉证书进行评分：具有国家级（包含国务院所属的部、委、办、局）授予的荣誉的得</w:t>
            </w:r>
            <w:r>
              <w:rPr>
                <w:rFonts w:hint="eastAsia"/>
                <w:sz w:val="21"/>
                <w:szCs w:val="21"/>
                <w:lang w:val="en-US" w:eastAsia="zh-CN"/>
              </w:rPr>
              <w:t>4</w:t>
            </w:r>
            <w:r>
              <w:rPr>
                <w:rFonts w:hint="eastAsia"/>
                <w:sz w:val="21"/>
                <w:szCs w:val="21"/>
              </w:rPr>
              <w:t>分；具有省级（包含省政府所属的部、委、办、局（厅））授予的荣誉的得</w:t>
            </w:r>
            <w:r>
              <w:rPr>
                <w:rFonts w:hint="eastAsia"/>
                <w:sz w:val="21"/>
                <w:szCs w:val="21"/>
                <w:lang w:val="en-US" w:eastAsia="zh-CN"/>
              </w:rPr>
              <w:t>3</w:t>
            </w:r>
            <w:r>
              <w:rPr>
                <w:rFonts w:hint="eastAsia"/>
                <w:sz w:val="21"/>
                <w:szCs w:val="21"/>
              </w:rPr>
              <w:t>分；具有市级（包含市政府所属的部、委、办、局或区、县政府）授予的荣誉的得</w:t>
            </w:r>
            <w:r>
              <w:rPr>
                <w:rFonts w:hint="eastAsia"/>
                <w:sz w:val="21"/>
                <w:szCs w:val="21"/>
                <w:lang w:val="en-US" w:eastAsia="zh-CN"/>
              </w:rPr>
              <w:t>1</w:t>
            </w:r>
            <w:r>
              <w:rPr>
                <w:rFonts w:hint="eastAsia"/>
                <w:sz w:val="21"/>
                <w:szCs w:val="21"/>
              </w:rPr>
              <w:t>分；分值不重复计算。需提供荣誉证书复印件，未提供不得分。</w:t>
            </w:r>
          </w:p>
        </w:tc>
      </w:tr>
    </w:tbl>
    <w:p>
      <w:pPr>
        <w:rPr>
          <w:rFonts w:asciiTheme="minorEastAsia" w:hAnsiTheme="minorEastAsia" w:eastAsiaTheme="minorEastAsia"/>
          <w:color w:val="000000" w:themeColor="text1"/>
          <w:szCs w:val="21"/>
          <w14:textFill>
            <w14:solidFill>
              <w14:schemeClr w14:val="tx1"/>
            </w14:solidFill>
          </w14:textFill>
        </w:rPr>
        <w:sectPr>
          <w:type w:val="continuous"/>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pStyle w:val="2"/>
      </w:pPr>
    </w:p>
    <w:p>
      <w:pPr>
        <w:adjustRightInd w:val="0"/>
        <w:snapToGrid w:val="0"/>
        <w:spacing w:line="360" w:lineRule="auto"/>
        <w:ind w:firstLine="472" w:firstLineChars="225"/>
        <w:jc w:val="left"/>
        <w:rPr>
          <w:rFonts w:ascii="EYInterstate Light" w:hAnsi="EYInterstate Light"/>
          <w:b/>
          <w:snapToGrid w:val="0"/>
          <w:color w:val="000000" w:themeColor="text1"/>
          <w:kern w:val="0"/>
          <w:szCs w:val="21"/>
          <w14:textFill>
            <w14:solidFill>
              <w14:schemeClr w14:val="tx1"/>
            </w14:solidFill>
          </w14:textFill>
        </w:rPr>
      </w:pPr>
      <w:r>
        <w:rPr>
          <w:rFonts w:hint="eastAsia" w:ascii="EYInterstate Light" w:hAnsi="EYInterstate Light"/>
          <w:b/>
          <w:snapToGrid w:val="0"/>
          <w:color w:val="000000" w:themeColor="text1"/>
          <w:kern w:val="0"/>
          <w:szCs w:val="21"/>
          <w14:textFill>
            <w14:solidFill>
              <w14:schemeClr w14:val="tx1"/>
            </w14:solidFill>
          </w14:textFill>
        </w:rPr>
        <w:t>备注：</w:t>
      </w:r>
    </w:p>
    <w:p>
      <w:pPr>
        <w:adjustRightInd w:val="0"/>
        <w:snapToGrid w:val="0"/>
        <w:spacing w:line="360" w:lineRule="auto"/>
        <w:ind w:firstLine="420" w:firstLineChars="200"/>
        <w:rPr>
          <w:rFonts w:ascii="EYInterstate Light" w:hAnsi="EYInterstate Light"/>
          <w:snapToGrid w:val="0"/>
          <w:color w:val="000000" w:themeColor="text1"/>
          <w:kern w:val="0"/>
          <w:szCs w:val="21"/>
          <w14:textFill>
            <w14:solidFill>
              <w14:schemeClr w14:val="tx1"/>
            </w14:solidFill>
          </w14:textFill>
        </w:rPr>
      </w:pPr>
      <w:r>
        <w:rPr>
          <w:rFonts w:hint="eastAsia" w:ascii="EYInterstate Light" w:hAnsi="EYInterstate Light"/>
          <w:snapToGrid w:val="0"/>
          <w:color w:val="000000" w:themeColor="text1"/>
          <w:kern w:val="0"/>
          <w:szCs w:val="21"/>
          <w14:textFill>
            <w14:solidFill>
              <w14:schemeClr w14:val="tx1"/>
            </w14:solidFill>
          </w14:textFill>
        </w:rPr>
        <w:t>投标人的最终总得分为商务</w:t>
      </w:r>
      <w:r>
        <w:rPr>
          <w:rFonts w:hint="eastAsia" w:ascii="EYInterstate Light" w:hAnsi="EYInterstate Light" w:eastAsia="宋体"/>
          <w:snapToGrid w:val="0"/>
          <w:color w:val="000000" w:themeColor="text1"/>
          <w:kern w:val="0"/>
          <w:szCs w:val="21"/>
          <w14:textFill>
            <w14:solidFill>
              <w14:schemeClr w14:val="tx1"/>
            </w14:solidFill>
          </w14:textFill>
        </w:rPr>
        <w:t>和</w:t>
      </w:r>
      <w:r>
        <w:rPr>
          <w:rFonts w:hint="eastAsia" w:ascii="EYInterstate Light" w:hAnsi="EYInterstate Light"/>
          <w:snapToGrid w:val="0"/>
          <w:color w:val="000000" w:themeColor="text1"/>
          <w:kern w:val="0"/>
          <w:szCs w:val="21"/>
          <w14:textFill>
            <w14:solidFill>
              <w14:schemeClr w14:val="tx1"/>
            </w14:solidFill>
          </w14:textFill>
        </w:rPr>
        <w:t>技术总和。</w:t>
      </w:r>
    </w:p>
    <w:p>
      <w:pPr>
        <w:tabs>
          <w:tab w:val="left" w:pos="709"/>
        </w:tabs>
        <w:adjustRightInd w:val="0"/>
        <w:snapToGrid w:val="0"/>
        <w:spacing w:line="360" w:lineRule="auto"/>
        <w:ind w:firstLine="420" w:firstLineChars="200"/>
        <w:rPr>
          <w:rFonts w:hint="default" w:ascii="EYInterstate Light" w:hAnsi="EYInterstate Light" w:eastAsia="EYInterstate Light"/>
          <w:b/>
          <w:snapToGrid w:val="0"/>
          <w:color w:val="000000" w:themeColor="text1"/>
          <w:kern w:val="0"/>
          <w:szCs w:val="21"/>
          <w:lang w:val="en-US" w:eastAsia="zh-CN"/>
          <w14:textFill>
            <w14:solidFill>
              <w14:schemeClr w14:val="tx1"/>
            </w14:solidFill>
          </w14:textFill>
        </w:rPr>
      </w:pPr>
      <w:r>
        <w:rPr>
          <w:rFonts w:hint="eastAsia" w:ascii="EYInterstate Light" w:hAnsi="EYInterstate Light"/>
          <w:b/>
          <w:snapToGrid w:val="0"/>
          <w:color w:val="000000" w:themeColor="text1"/>
          <w:kern w:val="0"/>
          <w:szCs w:val="21"/>
          <w:lang w:val="en-US" w:eastAsia="zh-CN"/>
          <w14:textFill>
            <w14:solidFill>
              <w14:schemeClr w14:val="tx1"/>
            </w14:solidFill>
          </w14:textFill>
        </w:rPr>
        <w:t>投标报价高于本项目最高限价的，其投标将作为无效标处理。</w:t>
      </w:r>
    </w:p>
    <w:p>
      <w:pPr>
        <w:tabs>
          <w:tab w:val="left" w:pos="709"/>
        </w:tabs>
        <w:adjustRightInd w:val="0"/>
        <w:snapToGrid w:val="0"/>
        <w:spacing w:line="360" w:lineRule="auto"/>
        <w:ind w:firstLine="420" w:firstLineChars="200"/>
        <w:rPr>
          <w:rFonts w:ascii="EYInterstate Light" w:hAnsi="EYInterstate Light"/>
          <w:b/>
          <w:snapToGrid w:val="0"/>
          <w:color w:val="000000" w:themeColor="text1"/>
          <w:kern w:val="0"/>
          <w:szCs w:val="21"/>
          <w14:textFill>
            <w14:solidFill>
              <w14:schemeClr w14:val="tx1"/>
            </w14:solidFill>
          </w14:textFill>
        </w:rPr>
      </w:pPr>
      <w:r>
        <w:rPr>
          <w:rFonts w:hint="eastAsia" w:ascii="EYInterstate Light" w:hAnsi="EYInterstate Light"/>
          <w:b/>
          <w:snapToGrid w:val="0"/>
          <w:color w:val="000000" w:themeColor="text1"/>
          <w:kern w:val="0"/>
          <w:szCs w:val="21"/>
          <w14:textFill>
            <w14:solidFill>
              <w14:schemeClr w14:val="tx1"/>
            </w14:solidFill>
          </w14:textFill>
        </w:rPr>
        <w:t>报价是中标的一个重要因素，但最低报价不是中标的唯一依据。</w:t>
      </w:r>
    </w:p>
    <w:p>
      <w:pPr>
        <w:spacing w:line="360" w:lineRule="auto"/>
        <w:ind w:firstLine="420" w:firstLineChars="200"/>
        <w:rPr>
          <w:rFonts w:ascii="EYInterstate Light" w:hAnsi="EYInterstate Light"/>
          <w:b/>
          <w:snapToGrid w:val="0"/>
          <w:color w:val="000000" w:themeColor="text1"/>
          <w:kern w:val="0"/>
          <w14:textFill>
            <w14:solidFill>
              <w14:schemeClr w14:val="tx1"/>
            </w14:solidFill>
          </w14:textFill>
        </w:rPr>
      </w:pPr>
      <w:r>
        <w:rPr>
          <w:rFonts w:hint="eastAsia" w:ascii="EYInterstate Light" w:hAnsi="EYInterstate Light" w:cs="Verdana"/>
          <w:b/>
          <w:color w:val="000000" w:themeColor="text1"/>
          <w:szCs w:val="21"/>
          <w14:textFill>
            <w14:solidFill>
              <w14:schemeClr w14:val="tx1"/>
            </w14:solidFill>
          </w14:textFill>
        </w:rPr>
        <w:t>技术</w:t>
      </w:r>
      <w:r>
        <w:rPr>
          <w:rFonts w:hint="eastAsia" w:ascii="EYInterstate Light" w:hAnsi="EYInterstate Light" w:eastAsia="宋体" w:cs="Verdana"/>
          <w:b/>
          <w:color w:val="000000" w:themeColor="text1"/>
          <w:szCs w:val="21"/>
          <w14:textFill>
            <w14:solidFill>
              <w14:schemeClr w14:val="tx1"/>
            </w14:solidFill>
          </w14:textFill>
        </w:rPr>
        <w:t>评审</w:t>
      </w:r>
      <w:r>
        <w:rPr>
          <w:rFonts w:hint="eastAsia" w:ascii="EYInterstate Light" w:hAnsi="EYInterstate Light" w:cs="Verdana"/>
          <w:b/>
          <w:color w:val="000000" w:themeColor="text1"/>
          <w:szCs w:val="21"/>
          <w14:textFill>
            <w14:solidFill>
              <w14:schemeClr w14:val="tx1"/>
            </w14:solidFill>
          </w14:textFill>
        </w:rPr>
        <w:t>得分=评标委员会所有成员评分合计数/评标委员会组成人员数</w:t>
      </w:r>
    </w:p>
    <w:p>
      <w:pPr>
        <w:spacing w:line="360" w:lineRule="auto"/>
        <w:ind w:firstLine="420" w:firstLineChars="200"/>
        <w:rPr>
          <w:rFonts w:ascii="EYInterstate Light" w:hAnsi="EYInterstate Light" w:cs="Verdana"/>
          <w:b/>
          <w:color w:val="000000" w:themeColor="text1"/>
          <w:szCs w:val="21"/>
          <w14:textFill>
            <w14:solidFill>
              <w14:schemeClr w14:val="tx1"/>
            </w14:solidFill>
          </w14:textFill>
        </w:rPr>
      </w:pPr>
      <w:r>
        <w:rPr>
          <w:rFonts w:hint="eastAsia" w:ascii="EYInterstate Light" w:hAnsi="EYInterstate Light" w:cs="Verdana"/>
          <w:b/>
          <w:color w:val="000000" w:themeColor="text1"/>
          <w:szCs w:val="21"/>
          <w14:textFill>
            <w14:solidFill>
              <w14:schemeClr w14:val="tx1"/>
            </w14:solidFill>
          </w14:textFill>
        </w:rPr>
        <w:t>技术</w:t>
      </w:r>
      <w:r>
        <w:rPr>
          <w:rFonts w:hint="eastAsia" w:ascii="EYInterstate Light" w:hAnsi="EYInterstate Light" w:eastAsia="宋体" w:cs="Verdana"/>
          <w:b/>
          <w:color w:val="000000" w:themeColor="text1"/>
          <w:szCs w:val="21"/>
          <w14:textFill>
            <w14:solidFill>
              <w14:schemeClr w14:val="tx1"/>
            </w14:solidFill>
          </w14:textFill>
        </w:rPr>
        <w:t>评审</w:t>
      </w:r>
      <w:r>
        <w:rPr>
          <w:rFonts w:hint="eastAsia" w:ascii="EYInterstate Light" w:hAnsi="EYInterstate Light" w:cs="Verdana"/>
          <w:b/>
          <w:color w:val="000000" w:themeColor="text1"/>
          <w:szCs w:val="21"/>
          <w14:textFill>
            <w14:solidFill>
              <w14:schemeClr w14:val="tx1"/>
            </w14:solidFill>
          </w14:textFill>
        </w:rPr>
        <w:t>得分</w:t>
      </w:r>
      <w:r>
        <w:rPr>
          <w:rFonts w:hint="eastAsia" w:ascii="EYInterstate Light" w:hAnsi="EYInterstate Light"/>
          <w:b/>
          <w:snapToGrid w:val="0"/>
          <w:color w:val="000000" w:themeColor="text1"/>
          <w:kern w:val="0"/>
          <w:szCs w:val="21"/>
          <w14:textFill>
            <w14:solidFill>
              <w14:schemeClr w14:val="tx1"/>
            </w14:solidFill>
          </w14:textFill>
        </w:rPr>
        <w:t>由评标委员会详细评议后，每人一份评分表，进行独自评分并签名。在统计得分时，如发现某一单项评分超过评分细则规定的分值范围，则该张评分表无效。</w:t>
      </w:r>
      <w:r>
        <w:rPr>
          <w:rFonts w:hint="eastAsia" w:ascii="EYInterstate Light" w:hAnsi="EYInterstate Light"/>
          <w:b/>
          <w:snapToGrid w:val="0"/>
          <w:color w:val="000000" w:themeColor="text1"/>
          <w:kern w:val="0"/>
          <w14:textFill>
            <w14:solidFill>
              <w14:schemeClr w14:val="tx1"/>
            </w14:solidFill>
          </w14:textFill>
        </w:rPr>
        <w:t>投标人商务</w:t>
      </w:r>
      <w:r>
        <w:rPr>
          <w:rFonts w:hint="eastAsia" w:ascii="EYInterstate Light" w:hAnsi="EYInterstate Light"/>
          <w:b/>
          <w:snapToGrid w:val="0"/>
          <w:color w:val="000000" w:themeColor="text1"/>
          <w:kern w:val="0"/>
          <w:szCs w:val="21"/>
          <w14:textFill>
            <w14:solidFill>
              <w14:schemeClr w14:val="tx1"/>
            </w14:solidFill>
          </w14:textFill>
        </w:rPr>
        <w:t>技术</w:t>
      </w:r>
      <w:r>
        <w:rPr>
          <w:rFonts w:hint="eastAsia" w:ascii="EYInterstate Light" w:hAnsi="EYInterstate Light"/>
          <w:b/>
          <w:snapToGrid w:val="0"/>
          <w:color w:val="000000" w:themeColor="text1"/>
          <w:kern w:val="0"/>
          <w14:textFill>
            <w14:solidFill>
              <w14:schemeClr w14:val="tx1"/>
            </w14:solidFill>
          </w14:textFill>
        </w:rPr>
        <w:t>部分的得分为评标委员会各成员的有效评分的算术平均值。</w:t>
      </w:r>
    </w:p>
    <w:p>
      <w:pPr>
        <w:adjustRightInd w:val="0"/>
        <w:snapToGrid w:val="0"/>
        <w:spacing w:line="360" w:lineRule="auto"/>
        <w:ind w:firstLine="420" w:firstLineChars="200"/>
        <w:rPr>
          <w:rFonts w:ascii="EYInterstate Light" w:hAnsi="EYInterstate Light"/>
          <w:b/>
          <w:snapToGrid w:val="0"/>
          <w:color w:val="000000" w:themeColor="text1"/>
          <w:kern w:val="0"/>
          <w14:textFill>
            <w14:solidFill>
              <w14:schemeClr w14:val="tx1"/>
            </w14:solidFill>
          </w14:textFill>
        </w:rPr>
      </w:pPr>
      <w:r>
        <w:rPr>
          <w:rFonts w:hint="eastAsia" w:ascii="EYInterstate Light" w:hAnsi="EYInterstate Light"/>
          <w:b/>
          <w:snapToGrid w:val="0"/>
          <w:color w:val="000000" w:themeColor="text1"/>
          <w:kern w:val="0"/>
          <w14:textFill>
            <w14:solidFill>
              <w14:schemeClr w14:val="tx1"/>
            </w14:solidFill>
          </w14:textFill>
        </w:rPr>
        <w:t>商务评审</w:t>
      </w:r>
      <w:r>
        <w:rPr>
          <w:rFonts w:hint="eastAsia" w:ascii="EYInterstate Light" w:hAnsi="EYInterstate Light" w:eastAsia="宋体"/>
          <w:b/>
          <w:snapToGrid w:val="0"/>
          <w:color w:val="000000" w:themeColor="text1"/>
          <w:kern w:val="0"/>
          <w14:textFill>
            <w14:solidFill>
              <w14:schemeClr w14:val="tx1"/>
            </w14:solidFill>
          </w14:textFill>
        </w:rPr>
        <w:t>得分</w:t>
      </w:r>
      <w:r>
        <w:rPr>
          <w:rFonts w:hint="eastAsia" w:ascii="EYInterstate Light" w:hAnsi="EYInterstate Light"/>
          <w:b/>
          <w:snapToGrid w:val="0"/>
          <w:color w:val="000000" w:themeColor="text1"/>
          <w:kern w:val="0"/>
          <w:szCs w:val="21"/>
          <w14:textFill>
            <w14:solidFill>
              <w14:schemeClr w14:val="tx1"/>
            </w14:solidFill>
          </w14:textFill>
        </w:rPr>
        <w:t>由评标委员会详细评议后，按评分细则进行统一评分。</w:t>
      </w:r>
    </w:p>
    <w:p>
      <w:pPr>
        <w:adjustRightInd w:val="0"/>
        <w:snapToGrid w:val="0"/>
        <w:spacing w:line="360" w:lineRule="auto"/>
        <w:ind w:firstLine="420" w:firstLineChars="200"/>
        <w:rPr>
          <w:rFonts w:ascii="EYInterstate Light" w:hAnsi="EYInterstate Light" w:eastAsia="宋体"/>
          <w:snapToGrid w:val="0"/>
          <w:color w:val="000000" w:themeColor="text1"/>
          <w:kern w:val="0"/>
          <w:szCs w:val="21"/>
          <w14:textFill>
            <w14:solidFill>
              <w14:schemeClr w14:val="tx1"/>
            </w14:solidFill>
          </w14:textFill>
        </w:rPr>
      </w:pPr>
      <w:r>
        <w:rPr>
          <w:rFonts w:hint="eastAsia" w:ascii="EYInterstate Light" w:hAnsi="EYInterstate Light"/>
          <w:snapToGrid w:val="0"/>
          <w:color w:val="000000" w:themeColor="text1"/>
          <w:kern w:val="0"/>
          <w:szCs w:val="21"/>
          <w14:textFill>
            <w14:solidFill>
              <w14:schemeClr w14:val="tx1"/>
            </w14:solidFill>
          </w14:textFill>
        </w:rPr>
        <w:t>商务技术评分时保留小数点后1位小数，计算评分值时保留小数点后2位小数，由评标委员会当场统一计算。</w:t>
      </w:r>
    </w:p>
    <w:p>
      <w:pPr>
        <w:adjustRightInd w:val="0"/>
        <w:snapToGrid w:val="0"/>
        <w:spacing w:line="360" w:lineRule="auto"/>
        <w:ind w:firstLine="420" w:firstLineChars="200"/>
        <w:rPr>
          <w:rFonts w:ascii="EYInterstate Light" w:hAnsi="EYInterstate Light" w:eastAsia="宋体"/>
          <w:snapToGrid w:val="0"/>
          <w:color w:val="000000" w:themeColor="text1"/>
          <w:kern w:val="0"/>
          <w:szCs w:val="21"/>
          <w14:textFill>
            <w14:solidFill>
              <w14:schemeClr w14:val="tx1"/>
            </w14:solidFill>
          </w14:textFill>
        </w:rPr>
      </w:pPr>
    </w:p>
    <w:p>
      <w:pPr>
        <w:widowControl/>
        <w:jc w:val="left"/>
        <w:rPr>
          <w:rFonts w:ascii="EYInterstate Light" w:hAnsi="EYInterstate Light"/>
          <w:bCs/>
          <w:color w:val="000000" w:themeColor="text1"/>
          <w:sz w:val="24"/>
          <w14:textFill>
            <w14:solidFill>
              <w14:schemeClr w14:val="tx1"/>
            </w14:solidFill>
          </w14:textFill>
        </w:rPr>
      </w:pPr>
      <w:r>
        <w:rPr>
          <w:rFonts w:ascii="EYInterstate Light" w:hAnsi="EYInterstate Light"/>
          <w:bCs/>
          <w:color w:val="000000" w:themeColor="text1"/>
          <w:sz w:val="24"/>
          <w14:textFill>
            <w14:solidFill>
              <w14:schemeClr w14:val="tx1"/>
            </w14:solidFill>
          </w14:textFill>
        </w:rPr>
        <w:br w:type="page"/>
      </w:r>
    </w:p>
    <w:p>
      <w:pPr>
        <w:pStyle w:val="5"/>
        <w:bidi w:val="0"/>
        <w:jc w:val="center"/>
      </w:pPr>
      <w:bookmarkStart w:id="481" w:name="_Toc10113"/>
      <w:bookmarkStart w:id="482" w:name="_Toc12498"/>
      <w:bookmarkStart w:id="483" w:name="_Toc6740"/>
      <w:bookmarkStart w:id="484" w:name="_Toc16805"/>
      <w:bookmarkStart w:id="485" w:name="_Toc7473"/>
      <w:bookmarkStart w:id="486" w:name="_Toc16893"/>
      <w:bookmarkStart w:id="487" w:name="_Toc9080"/>
      <w:bookmarkStart w:id="488" w:name="_Toc22180"/>
      <w:bookmarkStart w:id="489" w:name="_Toc26275"/>
      <w:bookmarkStart w:id="490" w:name="_Toc27743"/>
      <w:bookmarkStart w:id="491" w:name="_Toc7534"/>
      <w:bookmarkStart w:id="492" w:name="_Toc27181"/>
      <w:r>
        <w:rPr>
          <w:rFonts w:hint="eastAsia"/>
        </w:rPr>
        <w:t>第六章  投标文件格式</w:t>
      </w:r>
      <w:bookmarkEnd w:id="481"/>
      <w:bookmarkEnd w:id="482"/>
      <w:bookmarkEnd w:id="483"/>
      <w:bookmarkEnd w:id="484"/>
      <w:bookmarkEnd w:id="485"/>
      <w:bookmarkEnd w:id="486"/>
      <w:bookmarkEnd w:id="487"/>
      <w:bookmarkEnd w:id="488"/>
      <w:bookmarkEnd w:id="489"/>
      <w:bookmarkEnd w:id="490"/>
      <w:bookmarkEnd w:id="491"/>
      <w:bookmarkEnd w:id="492"/>
    </w:p>
    <w:p>
      <w:pPr>
        <w:tabs>
          <w:tab w:val="left" w:pos="709"/>
        </w:tabs>
        <w:adjustRightInd w:val="0"/>
        <w:snapToGrid w:val="0"/>
        <w:spacing w:line="360" w:lineRule="auto"/>
        <w:ind w:firstLine="420" w:firstLineChars="20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说明：</w:t>
      </w:r>
    </w:p>
    <w:p>
      <w:pPr>
        <w:tabs>
          <w:tab w:val="left" w:pos="709"/>
        </w:tabs>
        <w:adjustRightInd w:val="0"/>
        <w:snapToGrid w:val="0"/>
        <w:spacing w:line="360" w:lineRule="auto"/>
        <w:ind w:firstLine="420" w:firstLineChars="20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1．投标文件由投标人根据照招标文件要求参照附件格式编制。</w:t>
      </w:r>
    </w:p>
    <w:p>
      <w:pPr>
        <w:tabs>
          <w:tab w:val="left" w:pos="709"/>
        </w:tabs>
        <w:adjustRightInd w:val="0"/>
        <w:snapToGrid w:val="0"/>
        <w:spacing w:line="360" w:lineRule="auto"/>
        <w:ind w:firstLine="420" w:firstLineChars="20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2．投标人根据实际情况，格式的字体、编排，表格的内容可以做适当调整。</w:t>
      </w:r>
    </w:p>
    <w:p>
      <w:pPr>
        <w:tabs>
          <w:tab w:val="left" w:pos="709"/>
        </w:tabs>
        <w:adjustRightInd w:val="0"/>
        <w:snapToGrid w:val="0"/>
        <w:spacing w:line="360" w:lineRule="auto"/>
        <w:ind w:firstLine="420" w:firstLineChars="20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3．招标文件中没有参考格式的，投标人自行编制。</w:t>
      </w:r>
    </w:p>
    <w:p>
      <w:pPr>
        <w:tabs>
          <w:tab w:val="left" w:pos="709"/>
        </w:tabs>
        <w:adjustRightInd w:val="0"/>
        <w:snapToGrid w:val="0"/>
        <w:spacing w:line="360" w:lineRule="auto"/>
        <w:ind w:firstLine="420" w:firstLineChars="200"/>
        <w:jc w:val="left"/>
        <w:rPr>
          <w:rFonts w:ascii="EYInterstate Light" w:hAnsi="EYInterstate Light"/>
          <w:color w:val="000000" w:themeColor="text1"/>
          <w:szCs w:val="21"/>
          <w14:textFill>
            <w14:solidFill>
              <w14:schemeClr w14:val="tx1"/>
            </w14:solidFill>
          </w14:textFill>
        </w:rPr>
      </w:pPr>
    </w:p>
    <w:tbl>
      <w:tblPr>
        <w:tblStyle w:val="48"/>
        <w:tblW w:w="85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0"/>
        <w:gridCol w:w="6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8590" w:type="dxa"/>
            <w:gridSpan w:val="2"/>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投标报名登记表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223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项目名称</w:t>
            </w:r>
          </w:p>
        </w:tc>
        <w:tc>
          <w:tcPr>
            <w:tcW w:w="636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223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项目编号</w:t>
            </w:r>
          </w:p>
        </w:tc>
        <w:tc>
          <w:tcPr>
            <w:tcW w:w="636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3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投标单位名称</w:t>
            </w:r>
          </w:p>
        </w:tc>
        <w:tc>
          <w:tcPr>
            <w:tcW w:w="636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23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投标单位联系人</w:t>
            </w:r>
          </w:p>
        </w:tc>
        <w:tc>
          <w:tcPr>
            <w:tcW w:w="636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23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投标单位联系方式</w:t>
            </w:r>
          </w:p>
        </w:tc>
        <w:tc>
          <w:tcPr>
            <w:tcW w:w="636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223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r>
              <w:rPr>
                <w:rFonts w:hint="eastAsia" w:ascii="宋体" w:hAnsi="宋体" w:eastAsia="宋体" w:cs="宋体"/>
                <w:b/>
                <w:bCs/>
                <w:color w:val="000000" w:themeColor="text1"/>
                <w:vertAlign w:val="baseline"/>
                <w:lang w:val="en-US" w:eastAsia="zh-CN"/>
                <w14:textFill>
                  <w14:solidFill>
                    <w14:schemeClr w14:val="tx1"/>
                  </w14:solidFill>
                </w14:textFill>
              </w:rPr>
              <w:t>投标单位联系邮箱</w:t>
            </w:r>
          </w:p>
        </w:tc>
        <w:tc>
          <w:tcPr>
            <w:tcW w:w="6360" w:type="dxa"/>
            <w:vAlign w:val="center"/>
          </w:tcPr>
          <w:p>
            <w:pPr>
              <w:jc w:val="center"/>
              <w:rPr>
                <w:rFonts w:hint="eastAsia" w:ascii="宋体" w:hAnsi="宋体" w:eastAsia="宋体" w:cs="宋体"/>
                <w:b/>
                <w:bCs/>
                <w:color w:val="000000" w:themeColor="text1"/>
                <w:vertAlign w:val="baseline"/>
                <w:lang w:val="en-US" w:eastAsia="zh-CN"/>
                <w14:textFill>
                  <w14:solidFill>
                    <w14:schemeClr w14:val="tx1"/>
                  </w14:solidFill>
                </w14:textFill>
              </w:rPr>
            </w:pPr>
          </w:p>
        </w:tc>
      </w:tr>
    </w:tbl>
    <w:p>
      <w:pPr>
        <w:tabs>
          <w:tab w:val="left" w:pos="709"/>
        </w:tabs>
        <w:adjustRightInd w:val="0"/>
        <w:snapToGrid w:val="0"/>
        <w:spacing w:line="360" w:lineRule="auto"/>
        <w:ind w:firstLine="420" w:firstLineChars="200"/>
        <w:jc w:val="left"/>
        <w:rPr>
          <w:rFonts w:ascii="EYInterstate Light" w:hAnsi="EYInterstate Light"/>
          <w:color w:val="000000" w:themeColor="text1"/>
          <w:szCs w:val="21"/>
          <w14:textFill>
            <w14:solidFill>
              <w14:schemeClr w14:val="tx1"/>
            </w14:solidFill>
          </w14:textFill>
        </w:rPr>
      </w:pPr>
    </w:p>
    <w:p>
      <w:pPr>
        <w:tabs>
          <w:tab w:val="left" w:pos="709"/>
        </w:tabs>
        <w:adjustRightInd w:val="0"/>
        <w:snapToGrid w:val="0"/>
        <w:spacing w:line="360" w:lineRule="auto"/>
        <w:ind w:firstLine="480" w:firstLineChars="200"/>
        <w:jc w:val="left"/>
        <w:rPr>
          <w:rFonts w:ascii="EYInterstate Light" w:hAnsi="EYInterstate Light"/>
          <w:color w:val="000000" w:themeColor="text1"/>
          <w:sz w:val="24"/>
          <w14:textFill>
            <w14:solidFill>
              <w14:schemeClr w14:val="tx1"/>
            </w14:solidFill>
          </w14:textFill>
        </w:rPr>
      </w:pPr>
    </w:p>
    <w:p>
      <w:pPr>
        <w:tabs>
          <w:tab w:val="left" w:pos="709"/>
        </w:tabs>
        <w:adjustRightInd w:val="0"/>
        <w:snapToGrid w:val="0"/>
        <w:spacing w:line="360" w:lineRule="auto"/>
        <w:ind w:firstLine="480" w:firstLineChars="200"/>
        <w:jc w:val="left"/>
        <w:rPr>
          <w:rFonts w:ascii="EYInterstate Light" w:hAnsi="EYInterstate Light"/>
          <w:color w:val="000000" w:themeColor="text1"/>
          <w:sz w:val="24"/>
          <w14:textFill>
            <w14:solidFill>
              <w14:schemeClr w14:val="tx1"/>
            </w14:solidFill>
          </w14:textFill>
        </w:rPr>
      </w:pPr>
    </w:p>
    <w:p>
      <w:pPr>
        <w:tabs>
          <w:tab w:val="left" w:pos="709"/>
        </w:tabs>
        <w:adjustRightInd w:val="0"/>
        <w:snapToGrid w:val="0"/>
        <w:spacing w:line="360" w:lineRule="auto"/>
        <w:ind w:firstLine="480" w:firstLineChars="200"/>
        <w:jc w:val="left"/>
        <w:rPr>
          <w:rFonts w:ascii="EYInterstate Light" w:hAnsi="EYInterstate Light"/>
          <w:color w:val="000000" w:themeColor="text1"/>
          <w:sz w:val="24"/>
          <w14:textFill>
            <w14:solidFill>
              <w14:schemeClr w14:val="tx1"/>
            </w14:solidFill>
          </w14:textFill>
        </w:rPr>
      </w:pPr>
    </w:p>
    <w:p>
      <w:pPr>
        <w:rPr>
          <w:rFonts w:ascii="EYInterstate Light" w:hAnsi="EYInterstate Light"/>
          <w:color w:val="000000" w:themeColor="text1"/>
          <w:sz w:val="24"/>
          <w14:textFill>
            <w14:solidFill>
              <w14:schemeClr w14:val="tx1"/>
            </w14:solidFill>
          </w14:textFill>
        </w:rPr>
        <w:sectPr>
          <w:type w:val="continuous"/>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pStyle w:val="6"/>
        <w:keepNext/>
        <w:keepLines/>
        <w:pageBreakBefore w:val="0"/>
        <w:widowControl w:val="0"/>
        <w:numPr>
          <w:ilvl w:val="0"/>
          <w:numId w:val="58"/>
        </w:numPr>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493" w:name="_Toc23316"/>
      <w:bookmarkStart w:id="494" w:name="_Toc22668"/>
      <w:bookmarkStart w:id="495" w:name="_Toc23099"/>
      <w:bookmarkStart w:id="496" w:name="_Toc16698"/>
      <w:bookmarkStart w:id="497" w:name="_Toc17034"/>
      <w:bookmarkStart w:id="498" w:name="_Toc11048"/>
      <w:bookmarkStart w:id="499" w:name="_Toc6035"/>
      <w:bookmarkStart w:id="500" w:name="_Toc371002588"/>
      <w:bookmarkStart w:id="501" w:name="_Toc534142826"/>
      <w:bookmarkStart w:id="502" w:name="_Toc16003"/>
      <w:bookmarkStart w:id="503" w:name="_Toc53245890"/>
      <w:bookmarkStart w:id="504" w:name="_Toc6622"/>
      <w:bookmarkStart w:id="505" w:name="_Toc91"/>
      <w:bookmarkStart w:id="506" w:name="_Toc368993656"/>
      <w:bookmarkStart w:id="507" w:name="_Toc31546"/>
      <w:bookmarkStart w:id="508" w:name="_Toc2372"/>
      <w:r>
        <w:rPr>
          <w:rFonts w:hint="eastAsia" w:ascii="宋体" w:hAnsi="宋体" w:cs="宋体"/>
        </w:rPr>
        <w:t>投标文件封面</w:t>
      </w:r>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p>
    <w:p/>
    <w:p>
      <w:pPr>
        <w:rPr>
          <w:rFonts w:ascii="EYInterstate Light" w:hAnsi="EYInterstate Light"/>
          <w:color w:val="000000" w:themeColor="text1"/>
          <w14:textFill>
            <w14:solidFill>
              <w14:schemeClr w14:val="tx1"/>
            </w14:solidFill>
          </w14:textFill>
        </w:rPr>
      </w:pPr>
    </w:p>
    <w:p>
      <w:pPr>
        <w:spacing w:line="240" w:lineRule="auto"/>
        <w:jc w:val="left"/>
        <w:rPr>
          <w:rFonts w:hint="eastAsia" w:ascii="EYInterstate Light" w:hAnsi="EYInterstate Light"/>
          <w:color w:val="000000" w:themeColor="text1"/>
          <w:sz w:val="24"/>
          <w14:textFill>
            <w14:solidFill>
              <w14:schemeClr w14:val="tx1"/>
            </w14:solidFill>
          </w14:textFill>
        </w:rPr>
        <w:sectPr>
          <w:footerReference r:id="rId9" w:type="default"/>
          <w:footerReference r:id="rId10" w:type="even"/>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spacing w:line="360" w:lineRule="auto"/>
        <w:jc w:val="both"/>
        <w:rPr>
          <w:rFonts w:hint="eastAsia" w:ascii="EYInterstate Light" w:hAnsi="EYInterstate Light"/>
          <w:color w:val="000000" w:themeColor="text1"/>
          <w:sz w:val="24"/>
          <w14:textFill>
            <w14:solidFill>
              <w14:schemeClr w14:val="tx1"/>
            </w14:solidFill>
          </w14:textFill>
        </w:rPr>
      </w:pPr>
    </w:p>
    <w:p>
      <w:pPr>
        <w:spacing w:line="360" w:lineRule="auto"/>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 _________（项目名称）___________________招标</w:t>
      </w:r>
    </w:p>
    <w:p>
      <w:pPr>
        <w:jc w:val="center"/>
        <w:rPr>
          <w:rFonts w:ascii="EYInterstate Light" w:hAnsi="EYInterstate Light"/>
          <w:color w:val="000000" w:themeColor="text1"/>
          <w:sz w:val="24"/>
          <w14:textFill>
            <w14:solidFill>
              <w14:schemeClr w14:val="tx1"/>
            </w14:solidFill>
          </w14:textFill>
        </w:rPr>
      </w:pPr>
    </w:p>
    <w:p>
      <w:pPr>
        <w:jc w:val="center"/>
        <w:rPr>
          <w:rFonts w:ascii="EYInterstate Light" w:hAnsi="EYInterstate Light"/>
          <w:color w:val="000000" w:themeColor="text1"/>
          <w:sz w:val="24"/>
          <w14:textFill>
            <w14:solidFill>
              <w14:schemeClr w14:val="tx1"/>
            </w14:solidFill>
          </w14:textFill>
        </w:rPr>
      </w:pPr>
    </w:p>
    <w:p>
      <w:pPr>
        <w:jc w:val="center"/>
        <w:rPr>
          <w:rFonts w:ascii="EYInterstate Light" w:hAnsi="EYInterstate Light"/>
          <w:color w:val="000000" w:themeColor="text1"/>
          <w:sz w:val="52"/>
          <w:szCs w:val="52"/>
          <w14:textFill>
            <w14:solidFill>
              <w14:schemeClr w14:val="tx1"/>
            </w14:solidFill>
          </w14:textFill>
        </w:rPr>
      </w:pPr>
    </w:p>
    <w:p>
      <w:pPr>
        <w:spacing w:after="120"/>
        <w:jc w:val="center"/>
        <w:rPr>
          <w:rFonts w:hint="eastAsia" w:ascii="宋体" w:hAnsi="宋体" w:eastAsia="宋体" w:cs="宋体"/>
          <w:b/>
          <w:color w:val="000000" w:themeColor="text1"/>
          <w:sz w:val="52"/>
          <w:szCs w:val="52"/>
          <w14:textFill>
            <w14:solidFill>
              <w14:schemeClr w14:val="tx1"/>
            </w14:solidFill>
          </w14:textFill>
        </w:rPr>
      </w:pPr>
      <w:r>
        <w:rPr>
          <w:rFonts w:hint="eastAsia" w:ascii="宋体" w:hAnsi="宋体" w:eastAsia="宋体" w:cs="宋体"/>
          <w:b/>
          <w:color w:val="000000" w:themeColor="text1"/>
          <w:sz w:val="52"/>
          <w:szCs w:val="52"/>
          <w14:textFill>
            <w14:solidFill>
              <w14:schemeClr w14:val="tx1"/>
            </w14:solidFill>
          </w14:textFill>
        </w:rPr>
        <w:t>投标文件</w:t>
      </w:r>
    </w:p>
    <w:p>
      <w:pPr>
        <w:spacing w:after="120"/>
        <w:jc w:val="center"/>
        <w:rPr>
          <w:rFonts w:ascii="EYInterstate Light" w:hAnsi="EYInterstate Light"/>
          <w:b/>
          <w:color w:val="000000" w:themeColor="text1"/>
          <w:sz w:val="24"/>
          <w14:textFill>
            <w14:solidFill>
              <w14:schemeClr w14:val="tx1"/>
            </w14:solidFill>
          </w14:textFill>
        </w:rPr>
      </w:pPr>
    </w:p>
    <w:p>
      <w:pPr>
        <w:spacing w:after="120"/>
        <w:jc w:val="center"/>
        <w:rPr>
          <w:rFonts w:ascii="EYInterstate Light" w:hAnsi="EYInterstate Light"/>
          <w:b/>
          <w:color w:val="000000" w:themeColor="text1"/>
          <w:sz w:val="24"/>
          <w14:textFill>
            <w14:solidFill>
              <w14:schemeClr w14:val="tx1"/>
            </w14:solidFill>
          </w14:textFill>
        </w:rPr>
      </w:pPr>
    </w:p>
    <w:p>
      <w:pPr>
        <w:spacing w:after="120"/>
        <w:jc w:val="center"/>
        <w:rPr>
          <w:rFonts w:ascii="EYInterstate Light" w:hAnsi="EYInterstate Light"/>
          <w:b/>
          <w:color w:val="000000" w:themeColor="text1"/>
          <w:sz w:val="24"/>
          <w14:textFill>
            <w14:solidFill>
              <w14:schemeClr w14:val="tx1"/>
            </w14:solidFill>
          </w14:textFill>
        </w:rPr>
      </w:pPr>
    </w:p>
    <w:p>
      <w:pPr>
        <w:spacing w:after="120"/>
        <w:jc w:val="center"/>
        <w:rPr>
          <w:rFonts w:ascii="EYInterstate Light" w:hAnsi="EYInterstate Light"/>
          <w:b/>
          <w:color w:val="000000" w:themeColor="text1"/>
          <w:sz w:val="24"/>
          <w14:textFill>
            <w14:solidFill>
              <w14:schemeClr w14:val="tx1"/>
            </w14:solidFill>
          </w14:textFill>
        </w:rPr>
      </w:pPr>
    </w:p>
    <w:p>
      <w:pPr>
        <w:spacing w:after="120"/>
        <w:jc w:val="center"/>
        <w:rPr>
          <w:rFonts w:ascii="EYInterstate Light" w:hAnsi="EYInterstate Light"/>
          <w:b/>
          <w:color w:val="000000" w:themeColor="text1"/>
          <w:sz w:val="24"/>
          <w14:textFill>
            <w14:solidFill>
              <w14:schemeClr w14:val="tx1"/>
            </w14:solidFill>
          </w14:textFill>
        </w:rPr>
      </w:pPr>
    </w:p>
    <w:p>
      <w:pPr>
        <w:spacing w:after="120"/>
        <w:jc w:val="center"/>
        <w:rPr>
          <w:rFonts w:ascii="EYInterstate Light" w:hAnsi="EYInterstate Light"/>
          <w:b/>
          <w:color w:val="000000" w:themeColor="text1"/>
          <w:sz w:val="24"/>
          <w14:textFill>
            <w14:solidFill>
              <w14:schemeClr w14:val="tx1"/>
            </w14:solidFill>
          </w14:textFill>
        </w:rPr>
      </w:pPr>
    </w:p>
    <w:p>
      <w:pPr>
        <w:spacing w:after="120"/>
        <w:jc w:val="center"/>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投标人：</w:t>
      </w: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（盖公章或电子签章或合同章）</w:t>
      </w:r>
    </w:p>
    <w:p>
      <w:pPr>
        <w:spacing w:after="120"/>
        <w:jc w:val="center"/>
        <w:rPr>
          <w:rFonts w:hint="eastAsia" w:ascii="宋体" w:hAnsi="宋体" w:eastAsia="宋体" w:cs="宋体"/>
          <w:color w:val="000000" w:themeColor="text1"/>
          <w:sz w:val="24"/>
          <w:u w:val="single"/>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法定代表人或其委托代理人：</w:t>
      </w:r>
      <w:r>
        <w:rPr>
          <w:rFonts w:hint="eastAsia" w:ascii="宋体" w:hAnsi="宋体" w:eastAsia="宋体" w:cs="宋体"/>
          <w:color w:val="000000" w:themeColor="text1"/>
          <w:sz w:val="24"/>
          <w:lang w:val="en-US" w:eastAsia="zh-CN"/>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（签字或电子签名）</w:t>
      </w:r>
    </w:p>
    <w:p>
      <w:pPr>
        <w:spacing w:after="120"/>
        <w:ind w:firstLine="210"/>
        <w:jc w:val="center"/>
        <w:rPr>
          <w:rFonts w:hint="eastAsia"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年</w:t>
      </w:r>
      <w:r>
        <w:rPr>
          <w:rFonts w:hint="eastAsia" w:ascii="宋体" w:hAnsi="宋体" w:eastAsia="宋体" w:cs="宋体"/>
          <w:color w:val="000000" w:themeColor="text1"/>
          <w:sz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月</w:t>
      </w:r>
      <w:r>
        <w:rPr>
          <w:rFonts w:hint="eastAsia" w:ascii="宋体" w:hAnsi="宋体" w:eastAsia="宋体" w:cs="宋体"/>
          <w:color w:val="000000" w:themeColor="text1"/>
          <w:sz w:val="24"/>
          <w:u w:val="single"/>
          <w:lang w:val="en-US" w:eastAsia="zh-CN"/>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t>日</w:t>
      </w:r>
    </w:p>
    <w:p>
      <w:pPr>
        <w:spacing w:after="120"/>
        <w:ind w:firstLine="210"/>
        <w:jc w:val="center"/>
        <w:rPr>
          <w:rFonts w:ascii="EYInterstate Light" w:hAnsi="EYInterstate Light"/>
          <w:color w:val="000000" w:themeColor="text1"/>
          <w:sz w:val="24"/>
          <w14:textFill>
            <w14:solidFill>
              <w14:schemeClr w14:val="tx1"/>
            </w14:solidFill>
          </w14:textFill>
        </w:rPr>
      </w:pPr>
    </w:p>
    <w:p>
      <w:pPr>
        <w:spacing w:after="120"/>
        <w:ind w:firstLine="210"/>
        <w:jc w:val="center"/>
        <w:rPr>
          <w:rFonts w:ascii="EYInterstate Light" w:hAnsi="EYInterstate Light"/>
          <w:color w:val="000000" w:themeColor="text1"/>
          <w:sz w:val="24"/>
          <w14:textFill>
            <w14:solidFill>
              <w14:schemeClr w14:val="tx1"/>
            </w14:solidFill>
          </w14:textFill>
        </w:rPr>
      </w:pPr>
    </w:p>
    <w:p>
      <w:pPr>
        <w:pStyle w:val="9"/>
        <w:spacing w:line="360" w:lineRule="auto"/>
        <w:ind w:left="864" w:hanging="864"/>
        <w:jc w:val="left"/>
        <w:rPr>
          <w:rFonts w:ascii="EYInterstate Light" w:hAnsi="EYInterstate Light"/>
          <w:color w:val="000000" w:themeColor="text1"/>
          <w:sz w:val="21"/>
          <w:szCs w:val="21"/>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p>
    <w:p>
      <w:pPr>
        <w:pStyle w:val="9"/>
        <w:spacing w:line="360" w:lineRule="auto"/>
        <w:ind w:left="864" w:hanging="864"/>
        <w:jc w:val="left"/>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附详细评审索引表</w:t>
      </w:r>
    </w:p>
    <w:p>
      <w:pPr>
        <w:spacing w:line="360" w:lineRule="auto"/>
        <w:rPr>
          <w:rFonts w:ascii="EYInterstate Light" w:hAnsi="EYInterstate Light"/>
          <w:b/>
          <w:bCs/>
          <w:color w:val="000000" w:themeColor="text1"/>
          <w:szCs w:val="21"/>
          <w14:textFill>
            <w14:solidFill>
              <w14:schemeClr w14:val="tx1"/>
            </w14:solidFill>
          </w14:textFill>
        </w:rPr>
      </w:pPr>
    </w:p>
    <w:tbl>
      <w:tblPr>
        <w:tblStyle w:val="48"/>
        <w:tblW w:w="86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8"/>
        <w:gridCol w:w="1944"/>
        <w:gridCol w:w="2785"/>
        <w:gridCol w:w="3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序号</w:t>
            </w:r>
          </w:p>
        </w:tc>
        <w:tc>
          <w:tcPr>
            <w:tcW w:w="1944" w:type="dxa"/>
            <w:vAlign w:val="center"/>
          </w:tcPr>
          <w:p>
            <w:pPr>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评审项目</w:t>
            </w:r>
          </w:p>
        </w:tc>
        <w:tc>
          <w:tcPr>
            <w:tcW w:w="2785" w:type="dxa"/>
            <w:vAlign w:val="center"/>
          </w:tcPr>
          <w:p>
            <w:pPr>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评审内容</w:t>
            </w:r>
          </w:p>
        </w:tc>
        <w:tc>
          <w:tcPr>
            <w:tcW w:w="3162" w:type="dxa"/>
            <w:vAlign w:val="center"/>
          </w:tcPr>
          <w:p>
            <w:pPr>
              <w:jc w:val="center"/>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2</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3</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4</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5</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6</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7</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8</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9</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2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c>
          <w:tcPr>
            <w:tcW w:w="194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78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3162" w:type="dxa"/>
            <w:vAlign w:val="center"/>
          </w:tcPr>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见投标文件（）页</w:t>
            </w:r>
          </w:p>
        </w:tc>
      </w:tr>
    </w:tbl>
    <w:p>
      <w:pPr>
        <w:pStyle w:val="19"/>
        <w:spacing w:line="360" w:lineRule="auto"/>
        <w:ind w:left="424" w:hanging="424" w:hangingChars="202"/>
        <w:rPr>
          <w:rFonts w:hint="eastAsia" w:ascii="宋体" w:hAnsi="宋体" w:eastAsia="宋体" w:cs="宋体"/>
          <w:color w:val="000000" w:themeColor="text1"/>
          <w:sz w:val="21"/>
          <w:szCs w:val="21"/>
          <w:lang w:val="en-GB"/>
          <w14:textFill>
            <w14:solidFill>
              <w14:schemeClr w14:val="tx1"/>
            </w14:solidFill>
          </w14:textFill>
        </w:rPr>
      </w:pPr>
      <w:r>
        <w:rPr>
          <w:rFonts w:hint="eastAsia" w:ascii="宋体" w:hAnsi="宋体" w:eastAsia="宋体" w:cs="宋体"/>
          <w:color w:val="000000" w:themeColor="text1"/>
          <w:sz w:val="21"/>
          <w:szCs w:val="21"/>
          <w:lang w:val="en-GB"/>
          <w14:textFill>
            <w14:solidFill>
              <w14:schemeClr w14:val="tx1"/>
            </w14:solidFill>
          </w14:textFill>
        </w:rPr>
        <w:t>注：</w:t>
      </w:r>
      <w:r>
        <w:rPr>
          <w:rFonts w:hint="eastAsia" w:ascii="宋体" w:hAnsi="宋体" w:eastAsia="宋体" w:cs="宋体"/>
          <w:color w:val="000000" w:themeColor="text1"/>
          <w:sz w:val="21"/>
          <w:szCs w:val="21"/>
          <w14:textFill>
            <w14:solidFill>
              <w14:schemeClr w14:val="tx1"/>
            </w14:solidFill>
          </w14:textFill>
        </w:rPr>
        <w:t>投标人需根据评标办法的各项评审内容填写此表</w:t>
      </w:r>
      <w:r>
        <w:rPr>
          <w:rFonts w:hint="eastAsia" w:ascii="宋体" w:hAnsi="宋体" w:eastAsia="宋体" w:cs="宋体"/>
          <w:color w:val="000000" w:themeColor="text1"/>
          <w:sz w:val="21"/>
          <w:szCs w:val="21"/>
          <w:lang w:val="en-GB"/>
          <w14:textFill>
            <w14:solidFill>
              <w14:schemeClr w14:val="tx1"/>
            </w14:solidFill>
          </w14:textFill>
        </w:rPr>
        <w:t>。</w:t>
      </w: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spacing w:line="300" w:lineRule="auto"/>
        <w:rPr>
          <w:rFonts w:ascii="EYInterstate Light" w:hAnsi="EYInterstate Light"/>
          <w:b/>
          <w:bCs/>
          <w:color w:val="000000" w:themeColor="text1"/>
          <w:szCs w:val="21"/>
          <w:lang w:val="en-GB"/>
          <w14:textFill>
            <w14:solidFill>
              <w14:schemeClr w14:val="tx1"/>
            </w14:solidFill>
          </w14:textFill>
        </w:rPr>
      </w:pP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投标人名称：（盖公章或电子签章或合同章）</w:t>
      </w:r>
    </w:p>
    <w:p>
      <w:pPr>
        <w:adjustRightInd w:val="0"/>
        <w:snapToGrid w:val="0"/>
        <w:spacing w:line="360" w:lineRule="auto"/>
        <w:ind w:firstLine="6615" w:firstLineChars="315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日</w:t>
      </w:r>
    </w:p>
    <w:p>
      <w:pPr>
        <w:spacing w:after="120"/>
        <w:ind w:firstLine="210"/>
        <w:jc w:val="center"/>
        <w:rPr>
          <w:rFonts w:ascii="EYInterstate Light" w:hAnsi="EYInterstate Light"/>
          <w:color w:val="000000" w:themeColor="text1"/>
          <w:sz w:val="24"/>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p>
    <w:p>
      <w:pPr>
        <w:pStyle w:val="6"/>
        <w:keepNext/>
        <w:keepLines/>
        <w:pageBreakBefore w:val="0"/>
        <w:widowControl w:val="0"/>
        <w:numPr>
          <w:ilvl w:val="0"/>
          <w:numId w:val="58"/>
        </w:numPr>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509" w:name="_Toc25261"/>
      <w:bookmarkStart w:id="510" w:name="_Toc29701"/>
      <w:bookmarkStart w:id="511" w:name="_Toc19557"/>
      <w:bookmarkStart w:id="512" w:name="_Toc26794"/>
      <w:bookmarkStart w:id="513" w:name="_Toc29020"/>
      <w:bookmarkStart w:id="514" w:name="_Toc30135"/>
      <w:bookmarkStart w:id="515" w:name="_Toc31096"/>
      <w:bookmarkStart w:id="516" w:name="_Toc4943"/>
      <w:bookmarkStart w:id="517" w:name="_Toc21730"/>
      <w:bookmarkStart w:id="518" w:name="_Toc18918"/>
      <w:bookmarkStart w:id="519" w:name="_Toc7010"/>
      <w:bookmarkStart w:id="520" w:name="_Toc53245891"/>
      <w:bookmarkStart w:id="521" w:name="_Toc25607"/>
      <w:r>
        <w:rPr>
          <w:rFonts w:hint="eastAsia" w:ascii="宋体" w:hAnsi="宋体" w:cs="宋体"/>
        </w:rPr>
        <w:t>报价文件</w:t>
      </w:r>
      <w:bookmarkEnd w:id="509"/>
      <w:bookmarkEnd w:id="510"/>
      <w:bookmarkEnd w:id="511"/>
      <w:bookmarkEnd w:id="512"/>
      <w:bookmarkEnd w:id="513"/>
      <w:bookmarkEnd w:id="514"/>
      <w:bookmarkEnd w:id="515"/>
      <w:bookmarkEnd w:id="516"/>
      <w:bookmarkEnd w:id="517"/>
      <w:bookmarkEnd w:id="518"/>
      <w:bookmarkEnd w:id="519"/>
      <w:bookmarkEnd w:id="520"/>
      <w:bookmarkEnd w:id="521"/>
    </w:p>
    <w:p>
      <w:pPr>
        <w:bidi w:val="0"/>
        <w:jc w:val="center"/>
        <w:rPr>
          <w:rFonts w:hint="eastAsia" w:ascii="宋体" w:hAnsi="宋体" w:eastAsia="宋体" w:cs="宋体"/>
        </w:rPr>
      </w:pPr>
      <w:bookmarkStart w:id="522" w:name="_Toc53245892"/>
      <w:bookmarkStart w:id="523" w:name="_Toc70626988"/>
      <w:bookmarkStart w:id="524" w:name="_Toc85736443"/>
      <w:bookmarkStart w:id="525" w:name="_Toc53246083"/>
      <w:bookmarkStart w:id="526" w:name="_Toc85736537"/>
      <w:bookmarkStart w:id="527" w:name="_Toc90407511"/>
      <w:bookmarkStart w:id="528" w:name="_Toc46421275"/>
      <w:r>
        <w:rPr>
          <w:rFonts w:hint="eastAsia" w:ascii="宋体" w:hAnsi="宋体" w:eastAsia="宋体" w:cs="宋体"/>
        </w:rPr>
        <w:t>目录</w:t>
      </w:r>
      <w:bookmarkEnd w:id="522"/>
      <w:bookmarkEnd w:id="523"/>
      <w:bookmarkEnd w:id="524"/>
      <w:bookmarkEnd w:id="525"/>
      <w:bookmarkEnd w:id="526"/>
      <w:bookmarkEnd w:id="527"/>
      <w:bookmarkEnd w:id="528"/>
    </w:p>
    <w:p>
      <w:pPr>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参照第二章投标人须知</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报价文件</w:t>
      </w:r>
      <w:r>
        <w:rPr>
          <w:rFonts w:hint="eastAsia" w:ascii="宋体" w:hAnsi="宋体" w:eastAsia="宋体" w:cs="宋体"/>
          <w:snapToGrid w:val="0"/>
          <w:color w:val="000000" w:themeColor="text1"/>
          <w:kern w:val="0"/>
          <w:szCs w:val="21"/>
          <w:lang w:eastAsia="zh-CN"/>
          <w14:textFill>
            <w14:solidFill>
              <w14:schemeClr w14:val="tx1"/>
            </w14:solidFill>
          </w14:textFill>
        </w:rPr>
        <w:t>】</w:t>
      </w:r>
      <w:r>
        <w:rPr>
          <w:rFonts w:hint="eastAsia" w:ascii="宋体" w:hAnsi="宋体" w:eastAsia="宋体" w:cs="宋体"/>
          <w:snapToGrid w:val="0"/>
          <w:color w:val="000000" w:themeColor="text1"/>
          <w:kern w:val="0"/>
          <w:szCs w:val="21"/>
          <w14:textFill>
            <w14:solidFill>
              <w14:schemeClr w14:val="tx1"/>
            </w14:solidFill>
          </w14:textFill>
        </w:rPr>
        <w:t>（部分参考格式附后）</w:t>
      </w:r>
    </w:p>
    <w:p>
      <w:pPr>
        <w:numPr>
          <w:ilvl w:val="0"/>
          <w:numId w:val="59"/>
        </w:numPr>
        <w:bidi w:val="0"/>
        <w:rPr>
          <w:rFonts w:ascii="EYInterstate Light" w:hAnsi="EYInterstate Light" w:eastAsia="EYInterstate Light"/>
          <w:b/>
          <w:bCs/>
          <w:color w:val="000000" w:themeColor="text1"/>
          <w:sz w:val="24"/>
          <w:szCs w:val="24"/>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bookmarkStart w:id="529" w:name="_Toc107822558"/>
      <w:bookmarkStart w:id="530" w:name="_Toc70626989"/>
      <w:bookmarkStart w:id="531" w:name="_Toc85736538"/>
      <w:bookmarkStart w:id="532" w:name="_Toc488655907"/>
      <w:bookmarkStart w:id="533" w:name="_Toc85736444"/>
      <w:bookmarkStart w:id="534" w:name="_Toc534142827"/>
      <w:bookmarkStart w:id="535" w:name="_Toc368993657"/>
      <w:bookmarkStart w:id="536" w:name="_Toc46421276"/>
      <w:bookmarkStart w:id="537" w:name="_Toc53246084"/>
      <w:bookmarkStart w:id="538" w:name="_Toc226969360"/>
      <w:bookmarkStart w:id="539" w:name="_Toc53245893"/>
      <w:bookmarkStart w:id="540" w:name="_Toc371002589"/>
      <w:bookmarkStart w:id="541" w:name="_Toc227057966"/>
      <w:bookmarkStart w:id="542" w:name="_Toc90407512"/>
      <w:r>
        <w:rPr>
          <w:rFonts w:hint="eastAsia" w:ascii="宋体" w:hAnsi="宋体" w:eastAsia="宋体" w:cs="宋体"/>
          <w:b/>
          <w:bCs/>
          <w:color w:val="000000" w:themeColor="text1"/>
          <w:sz w:val="24"/>
          <w:szCs w:val="24"/>
          <w14:textFill>
            <w14:solidFill>
              <w14:schemeClr w14:val="tx1"/>
            </w14:solidFill>
          </w14:textFill>
        </w:rPr>
        <w:t>投标</w:t>
      </w:r>
      <w:bookmarkEnd w:id="529"/>
      <w:r>
        <w:rPr>
          <w:rFonts w:hint="eastAsia" w:ascii="宋体" w:hAnsi="宋体" w:eastAsia="宋体" w:cs="宋体"/>
          <w:b/>
          <w:bCs/>
          <w:color w:val="000000" w:themeColor="text1"/>
          <w:sz w:val="24"/>
          <w:szCs w:val="24"/>
          <w14:textFill>
            <w14:solidFill>
              <w14:schemeClr w14:val="tx1"/>
            </w14:solidFill>
          </w14:textFill>
        </w:rPr>
        <w:t>函</w:t>
      </w:r>
      <w:bookmarkEnd w:id="530"/>
      <w:bookmarkEnd w:id="531"/>
      <w:bookmarkEnd w:id="532"/>
      <w:bookmarkEnd w:id="533"/>
      <w:bookmarkEnd w:id="534"/>
      <w:bookmarkEnd w:id="535"/>
      <w:bookmarkEnd w:id="536"/>
      <w:bookmarkEnd w:id="537"/>
      <w:bookmarkEnd w:id="538"/>
      <w:bookmarkEnd w:id="539"/>
      <w:bookmarkEnd w:id="540"/>
      <w:bookmarkEnd w:id="541"/>
      <w:bookmarkEnd w:id="542"/>
    </w:p>
    <w:p>
      <w:pPr>
        <w:adjustRightInd w:val="0"/>
        <w:snapToGrid w:val="0"/>
        <w:spacing w:line="360" w:lineRule="auto"/>
        <w:ind w:firstLine="480" w:firstLineChars="200"/>
        <w:jc w:val="center"/>
        <w:rPr>
          <w:rFonts w:hint="eastAsia" w:ascii="宋体" w:hAnsi="宋体" w:eastAsia="宋体" w:cs="宋体"/>
          <w:b/>
          <w:color w:val="000000" w:themeColor="text1"/>
          <w:sz w:val="24"/>
          <w:u w:val="single"/>
          <w14:textFill>
            <w14:solidFill>
              <w14:schemeClr w14:val="tx1"/>
            </w14:solidFill>
          </w14:textFill>
        </w:rPr>
      </w:pPr>
      <w:r>
        <w:rPr>
          <w:rFonts w:hint="eastAsia" w:ascii="宋体" w:hAnsi="宋体" w:eastAsia="宋体" w:cs="宋体"/>
          <w:b/>
          <w:color w:val="000000" w:themeColor="text1"/>
          <w:sz w:val="24"/>
          <w:u w:val="single"/>
          <w14:textFill>
            <w14:solidFill>
              <w14:schemeClr w14:val="tx1"/>
            </w14:solidFill>
          </w14:textFill>
        </w:rPr>
        <w:t>投标函</w:t>
      </w:r>
    </w:p>
    <w:p>
      <w:pPr>
        <w:adjustRightInd w:val="0"/>
        <w:snapToGrid w:val="0"/>
        <w:spacing w:line="360" w:lineRule="auto"/>
        <w:ind w:firstLine="480" w:firstLineChars="200"/>
        <w:jc w:val="center"/>
        <w:rPr>
          <w:rFonts w:ascii="EYInterstate Light" w:hAnsi="EYInterstate Light"/>
          <w:color w:val="000000" w:themeColor="text1"/>
          <w:sz w:val="24"/>
          <w14:textFill>
            <w14:solidFill>
              <w14:schemeClr w14:val="tx1"/>
            </w14:solidFill>
          </w14:textFill>
        </w:rPr>
      </w:pPr>
    </w:p>
    <w:p>
      <w:pPr>
        <w:adjustRightInd w:val="0"/>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致：</w:t>
      </w:r>
      <w:r>
        <w:rPr>
          <w:rFonts w:hint="eastAsia" w:ascii="宋体" w:hAnsi="宋体" w:eastAsia="宋体" w:cs="宋体"/>
          <w:color w:val="000000" w:themeColor="text1"/>
          <w:szCs w:val="21"/>
          <w:u w:val="single"/>
          <w14:textFill>
            <w14:solidFill>
              <w14:schemeClr w14:val="tx1"/>
            </w14:solidFill>
          </w14:textFill>
        </w:rPr>
        <w:t>（招标人）</w:t>
      </w: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根据招标人为</w:t>
      </w:r>
      <w:r>
        <w:rPr>
          <w:rFonts w:hint="eastAsia" w:ascii="宋体" w:hAnsi="宋体" w:eastAsia="宋体" w:cs="宋体"/>
          <w:color w:val="000000" w:themeColor="text1"/>
          <w:szCs w:val="21"/>
          <w:u w:val="single"/>
          <w14:textFill>
            <w14:solidFill>
              <w14:schemeClr w14:val="tx1"/>
            </w14:solidFill>
          </w14:textFill>
        </w:rPr>
        <w:t>（项目名称）</w:t>
      </w:r>
      <w:r>
        <w:rPr>
          <w:rFonts w:hint="eastAsia" w:ascii="宋体" w:hAnsi="宋体" w:eastAsia="宋体" w:cs="宋体"/>
          <w:color w:val="000000" w:themeColor="text1"/>
          <w:szCs w:val="21"/>
          <w14:textFill>
            <w14:solidFill>
              <w14:schemeClr w14:val="tx1"/>
            </w14:solidFill>
          </w14:textFill>
        </w:rPr>
        <w:t>项目招标采购货物及服务的</w:t>
      </w:r>
      <w:r>
        <w:rPr>
          <w:rFonts w:hint="eastAsia" w:ascii="宋体" w:hAnsi="宋体" w:eastAsia="宋体" w:cs="宋体"/>
          <w:color w:val="000000" w:themeColor="text1"/>
          <w:szCs w:val="21"/>
          <w:lang w:val="en-US" w:eastAsia="zh-CN"/>
          <w14:textFill>
            <w14:solidFill>
              <w14:schemeClr w14:val="tx1"/>
            </w14:solidFill>
          </w14:textFill>
        </w:rPr>
        <w:t>招标公告</w:t>
      </w:r>
      <w:r>
        <w:rPr>
          <w:rFonts w:hint="eastAsia" w:ascii="宋体" w:hAnsi="宋体" w:eastAsia="宋体" w:cs="宋体"/>
          <w:color w:val="000000" w:themeColor="text1"/>
          <w:szCs w:val="21"/>
          <w:u w:val="single"/>
          <w14:textFill>
            <w14:solidFill>
              <w14:schemeClr w14:val="tx1"/>
            </w14:solidFill>
          </w14:textFill>
        </w:rPr>
        <w:t xml:space="preserve">  (招标编号） </w:t>
      </w:r>
      <w:r>
        <w:rPr>
          <w:rFonts w:hint="eastAsia" w:ascii="宋体" w:hAnsi="宋体" w:eastAsia="宋体" w:cs="宋体"/>
          <w:color w:val="000000" w:themeColor="text1"/>
          <w:szCs w:val="21"/>
          <w14:textFill>
            <w14:solidFill>
              <w14:schemeClr w14:val="tx1"/>
            </w14:solidFill>
          </w14:textFill>
        </w:rPr>
        <w:t>，投标人</w:t>
      </w:r>
      <w:r>
        <w:rPr>
          <w:rFonts w:hint="eastAsia" w:ascii="宋体" w:hAnsi="宋体" w:eastAsia="宋体" w:cs="宋体"/>
          <w:color w:val="000000" w:themeColor="text1"/>
          <w:szCs w:val="21"/>
          <w:u w:val="single"/>
          <w14:textFill>
            <w14:solidFill>
              <w14:schemeClr w14:val="tx1"/>
            </w14:solidFill>
          </w14:textFill>
        </w:rPr>
        <w:t xml:space="preserve">  (投标人名称、地址） </w:t>
      </w:r>
      <w:r>
        <w:rPr>
          <w:rFonts w:hint="eastAsia" w:ascii="宋体" w:hAnsi="宋体" w:eastAsia="宋体" w:cs="宋体"/>
          <w:color w:val="000000" w:themeColor="text1"/>
          <w:szCs w:val="21"/>
          <w14:textFill>
            <w14:solidFill>
              <w14:schemeClr w14:val="tx1"/>
            </w14:solidFill>
          </w14:textFill>
        </w:rPr>
        <w:t>提交下述文件正本一份及副本份：</w:t>
      </w:r>
    </w:p>
    <w:p>
      <w:pPr>
        <w:numPr>
          <w:ilvl w:val="0"/>
          <w:numId w:val="60"/>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投标一览表</w:t>
      </w:r>
    </w:p>
    <w:p>
      <w:pPr>
        <w:numPr>
          <w:ilvl w:val="0"/>
          <w:numId w:val="60"/>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投标单项报价表</w:t>
      </w:r>
    </w:p>
    <w:p>
      <w:pPr>
        <w:numPr>
          <w:ilvl w:val="0"/>
          <w:numId w:val="60"/>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合同条款偏离表</w:t>
      </w:r>
    </w:p>
    <w:p>
      <w:pPr>
        <w:numPr>
          <w:ilvl w:val="0"/>
          <w:numId w:val="60"/>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技术规格偏离表</w:t>
      </w:r>
    </w:p>
    <w:p>
      <w:pPr>
        <w:numPr>
          <w:ilvl w:val="0"/>
          <w:numId w:val="60"/>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按招标文件投标人须知和技术规格要求提供的有关文件</w:t>
      </w:r>
    </w:p>
    <w:p>
      <w:pPr>
        <w:numPr>
          <w:ilvl w:val="0"/>
          <w:numId w:val="60"/>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资格证明文件</w:t>
      </w:r>
    </w:p>
    <w:p>
      <w:pPr>
        <w:numPr>
          <w:ilvl w:val="0"/>
          <w:numId w:val="60"/>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投标保证金，金额为</w:t>
      </w:r>
      <w:r>
        <w:rPr>
          <w:rFonts w:hint="eastAsia" w:ascii="宋体" w:hAnsi="宋体" w:eastAsia="宋体" w:cs="宋体"/>
          <w:color w:val="000000" w:themeColor="text1"/>
          <w:szCs w:val="21"/>
          <w:u w:val="single"/>
          <w14:textFill>
            <w14:solidFill>
              <w14:schemeClr w14:val="tx1"/>
            </w14:solidFill>
          </w14:textFill>
        </w:rPr>
        <w:t>（金额数和币种）</w:t>
      </w:r>
      <w:r>
        <w:rPr>
          <w:rFonts w:hint="eastAsia" w:ascii="宋体" w:hAnsi="宋体" w:eastAsia="宋体" w:cs="宋体"/>
          <w:color w:val="000000" w:themeColor="text1"/>
          <w:szCs w:val="21"/>
          <w14:textFill>
            <w14:solidFill>
              <w14:schemeClr w14:val="tx1"/>
            </w14:solidFill>
          </w14:textFill>
        </w:rPr>
        <w:t>。</w:t>
      </w: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    据此，投标人同意如下内容：</w:t>
      </w:r>
    </w:p>
    <w:p>
      <w:pPr>
        <w:numPr>
          <w:ilvl w:val="0"/>
          <w:numId w:val="61"/>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所附投标价格表中规定的应提交和交付的投标价格遵循开标一览表。</w:t>
      </w:r>
    </w:p>
    <w:p>
      <w:pPr>
        <w:numPr>
          <w:ilvl w:val="0"/>
          <w:numId w:val="61"/>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投标人将按招标文件的规定履行合同责任和义务。</w:t>
      </w:r>
    </w:p>
    <w:p>
      <w:pPr>
        <w:numPr>
          <w:ilvl w:val="0"/>
          <w:numId w:val="61"/>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投标人已详细审解读全部招标文件，（包括第编号、补遗书）（如果有的话）。</w:t>
      </w:r>
    </w:p>
    <w:p>
      <w:pPr>
        <w:numPr>
          <w:ilvl w:val="0"/>
          <w:numId w:val="61"/>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遵从本投标有效期为</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天。</w:t>
      </w:r>
    </w:p>
    <w:p>
      <w:pPr>
        <w:numPr>
          <w:ilvl w:val="0"/>
          <w:numId w:val="61"/>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如果在规定的开标时间后，我方在投标有效期内撤回投标，投标保证金将被贵方没收。</w:t>
      </w:r>
    </w:p>
    <w:p>
      <w:pPr>
        <w:numPr>
          <w:ilvl w:val="0"/>
          <w:numId w:val="61"/>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我方承诺，与贵方聘请的为此项目提供咨询服务的公司及任何附属机构均无关联关系，我方不是贵方的附属机构。</w:t>
      </w:r>
    </w:p>
    <w:p>
      <w:pPr>
        <w:numPr>
          <w:ilvl w:val="0"/>
          <w:numId w:val="61"/>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我方同意提供按照贵方可能要求的与其投标有关的一切数据或资料，完全理解贵方不一定接受最低价的投标。</w:t>
      </w:r>
    </w:p>
    <w:p>
      <w:pPr>
        <w:numPr>
          <w:ilvl w:val="0"/>
          <w:numId w:val="61"/>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我方承诺：我方不得将本次招标或合同的有关资料向第三方透露。</w:t>
      </w:r>
    </w:p>
    <w:p>
      <w:pPr>
        <w:numPr>
          <w:ilvl w:val="0"/>
          <w:numId w:val="61"/>
        </w:numPr>
        <w:adjustRightInd w:val="0"/>
        <w:snapToGrid w:val="0"/>
        <w:spacing w:line="360" w:lineRule="auto"/>
        <w:ind w:left="0" w:leftChars="0"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与本投标有关的一切正式往来信函请寄：</w:t>
      </w:r>
    </w:p>
    <w:p>
      <w:pPr>
        <w:adjustRightInd w:val="0"/>
        <w:snapToGrid w:val="0"/>
        <w:spacing w:line="360" w:lineRule="auto"/>
        <w:ind w:firstLine="420" w:firstLineChars="200"/>
        <w:rPr>
          <w:rFonts w:hint="eastAsia"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地址      </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邮编</w:t>
      </w: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传真</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电话</w:t>
      </w: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电子邮箱</w:t>
      </w: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投标人名称：（盖公章或电子签章或合同章）</w:t>
      </w: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法定代表人或其委托代理人：（签字或电子签名）</w:t>
      </w: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日</w:t>
      </w:r>
      <w:bookmarkStart w:id="543" w:name="_Toc226969361"/>
      <w:bookmarkStart w:id="544" w:name="_Toc534142828"/>
      <w:bookmarkStart w:id="545" w:name="_Toc227057967"/>
      <w:bookmarkStart w:id="546" w:name="_Toc368993658"/>
      <w:bookmarkStart w:id="547" w:name="_Toc107822559"/>
      <w:bookmarkStart w:id="548" w:name="_Toc371002590"/>
      <w:bookmarkStart w:id="549" w:name="_Toc488655908"/>
    </w:p>
    <w:p>
      <w:pPr>
        <w:adjustRightInd w:val="0"/>
        <w:snapToGrid w:val="0"/>
        <w:spacing w:line="360" w:lineRule="auto"/>
        <w:ind w:firstLine="420" w:firstLineChars="200"/>
        <w:jc w:val="both"/>
        <w:rPr>
          <w:rFonts w:hint="eastAsia" w:ascii="宋体" w:hAnsi="宋体" w:eastAsia="宋体" w:cs="宋体"/>
          <w:color w:val="000000" w:themeColor="text1"/>
          <w:sz w:val="21"/>
          <w:szCs w:val="21"/>
          <w14:textFill>
            <w14:solidFill>
              <w14:schemeClr w14:val="tx1"/>
            </w14:solidFill>
          </w14:textFill>
        </w:rPr>
      </w:pPr>
    </w:p>
    <w:p>
      <w:pPr>
        <w:numPr>
          <w:ilvl w:val="0"/>
          <w:numId w:val="59"/>
        </w:numPr>
        <w:bidi w:val="0"/>
        <w:rPr>
          <w:rFonts w:hint="eastAsia" w:ascii="宋体" w:hAnsi="宋体" w:eastAsia="宋体" w:cs="宋体"/>
          <w:b/>
          <w:bCs/>
        </w:rPr>
      </w:pPr>
      <w:bookmarkStart w:id="550" w:name="_Toc85736445"/>
      <w:bookmarkStart w:id="551" w:name="_Toc46421277"/>
      <w:bookmarkStart w:id="552" w:name="_Toc53245894"/>
      <w:bookmarkStart w:id="553" w:name="_Toc70626990"/>
      <w:bookmarkStart w:id="554" w:name="_Toc53246085"/>
      <w:bookmarkStart w:id="555" w:name="_Toc90407513"/>
      <w:bookmarkStart w:id="556" w:name="_Toc85736539"/>
      <w:r>
        <w:rPr>
          <w:rFonts w:hint="eastAsia" w:ascii="宋体" w:hAnsi="宋体" w:eastAsia="宋体" w:cs="宋体"/>
          <w:b/>
          <w:bCs/>
        </w:rPr>
        <w:t>开标一览表</w:t>
      </w:r>
      <w:bookmarkEnd w:id="543"/>
      <w:bookmarkEnd w:id="544"/>
      <w:bookmarkEnd w:id="545"/>
      <w:bookmarkEnd w:id="546"/>
      <w:bookmarkEnd w:id="547"/>
      <w:bookmarkEnd w:id="548"/>
      <w:bookmarkEnd w:id="550"/>
      <w:bookmarkEnd w:id="551"/>
      <w:bookmarkEnd w:id="552"/>
      <w:bookmarkEnd w:id="553"/>
      <w:bookmarkEnd w:id="554"/>
      <w:bookmarkEnd w:id="555"/>
      <w:bookmarkEnd w:id="556"/>
    </w:p>
    <w:p>
      <w:pPr>
        <w:jc w:val="center"/>
        <w:rPr>
          <w:rFonts w:hint="eastAsia" w:ascii="宋体" w:hAnsi="宋体" w:eastAsia="宋体" w:cs="宋体"/>
          <w:b/>
          <w:color w:val="000000" w:themeColor="text1"/>
          <w:sz w:val="24"/>
          <w14:textFill>
            <w14:solidFill>
              <w14:schemeClr w14:val="tx1"/>
            </w14:solidFill>
          </w14:textFill>
        </w:rPr>
      </w:pPr>
      <w:bookmarkStart w:id="557" w:name="_Toc106527636"/>
    </w:p>
    <w:bookmarkEnd w:id="549"/>
    <w:bookmarkEnd w:id="557"/>
    <w:p>
      <w:pPr>
        <w:adjustRightInd w:val="0"/>
        <w:snapToGrid w:val="0"/>
        <w:spacing w:line="360" w:lineRule="auto"/>
        <w:jc w:val="center"/>
        <w:rPr>
          <w:rFonts w:hint="eastAsia" w:ascii="宋体" w:hAnsi="宋体" w:eastAsia="宋体" w:cs="宋体"/>
          <w:b/>
          <w:snapToGrid w:val="0"/>
          <w:color w:val="000000" w:themeColor="text1"/>
          <w:kern w:val="0"/>
          <w:sz w:val="32"/>
          <w:szCs w:val="32"/>
          <w14:textFill>
            <w14:solidFill>
              <w14:schemeClr w14:val="tx1"/>
            </w14:solidFill>
          </w14:textFill>
        </w:rPr>
      </w:pPr>
      <w:r>
        <w:rPr>
          <w:rFonts w:hint="eastAsia" w:ascii="宋体" w:hAnsi="宋体" w:eastAsia="宋体" w:cs="宋体"/>
          <w:b/>
          <w:snapToGrid w:val="0"/>
          <w:color w:val="000000" w:themeColor="text1"/>
          <w:kern w:val="0"/>
          <w:sz w:val="32"/>
          <w:szCs w:val="32"/>
          <w14:textFill>
            <w14:solidFill>
              <w14:schemeClr w14:val="tx1"/>
            </w14:solidFill>
          </w14:textFill>
        </w:rPr>
        <w:t>开标一览表</w:t>
      </w:r>
    </w:p>
    <w:p>
      <w:pPr>
        <w:adjustRightInd w:val="0"/>
        <w:snapToGrid w:val="0"/>
        <w:spacing w:line="360" w:lineRule="auto"/>
        <w:rPr>
          <w:rFonts w:ascii="EYInterstate Light" w:hAnsi="EYInterstate Light"/>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项目名称：</w:t>
      </w:r>
      <w:r>
        <w:rPr>
          <w:rFonts w:hint="eastAsia" w:ascii="宋体" w:hAnsi="宋体" w:eastAsia="宋体" w:cs="宋体"/>
          <w:snapToGrid w:val="0"/>
          <w:color w:val="000000" w:themeColor="text1"/>
          <w:kern w:val="0"/>
          <w:szCs w:val="21"/>
          <w:lang w:val="en-US" w:eastAsia="zh-CN"/>
          <w14:textFill>
            <w14:solidFill>
              <w14:schemeClr w14:val="tx1"/>
            </w14:solidFill>
          </w14:textFill>
        </w:rPr>
        <w:t xml:space="preserve">                                      </w:t>
      </w:r>
      <w:r>
        <w:rPr>
          <w:rFonts w:hint="eastAsia" w:ascii="宋体" w:hAnsi="宋体" w:eastAsia="宋体" w:cs="宋体"/>
          <w:snapToGrid w:val="0"/>
          <w:color w:val="000000" w:themeColor="text1"/>
          <w:kern w:val="0"/>
          <w:szCs w:val="21"/>
          <w14:textFill>
            <w14:solidFill>
              <w14:schemeClr w14:val="tx1"/>
            </w14:solidFill>
          </w14:textFill>
        </w:rPr>
        <w:t xml:space="preserve">项目编号：       </w:t>
      </w:r>
      <w:r>
        <w:rPr>
          <w:rFonts w:hint="eastAsia" w:ascii="EYInterstate Light" w:hAnsi="EYInterstate Light"/>
          <w:snapToGrid w:val="0"/>
          <w:color w:val="000000" w:themeColor="text1"/>
          <w:kern w:val="0"/>
          <w:szCs w:val="21"/>
          <w14:textFill>
            <w14:solidFill>
              <w14:schemeClr w14:val="tx1"/>
            </w14:solidFill>
          </w14:textFill>
        </w:rPr>
        <w:t xml:space="preserve">    </w:t>
      </w:r>
    </w:p>
    <w:tbl>
      <w:tblPr>
        <w:tblStyle w:val="4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6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277" w:type="dxa"/>
            <w:vAlign w:val="bottom"/>
          </w:tcPr>
          <w:p>
            <w:pPr>
              <w:adjustRightInd w:val="0"/>
              <w:snapToGrid w:val="0"/>
              <w:spacing w:line="360" w:lineRule="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投标报价</w:t>
            </w:r>
          </w:p>
        </w:tc>
        <w:tc>
          <w:tcPr>
            <w:tcW w:w="6245" w:type="dxa"/>
            <w:vAlign w:val="bottom"/>
          </w:tcPr>
          <w:p>
            <w:pPr>
              <w:adjustRightInd w:val="0"/>
              <w:snapToGrid w:val="0"/>
              <w:spacing w:line="360" w:lineRule="auto"/>
              <w:rPr>
                <w:rFonts w:hint="default"/>
                <w:lang w:val="en-US" w:eastAsia="zh-CN"/>
              </w:rPr>
            </w:pPr>
            <w:r>
              <w:rPr>
                <w:rFonts w:hint="default"/>
                <w:lang w:val="en-US" w:eastAsia="zh-CN"/>
              </w:rPr>
              <w:t>线路1：       元</w:t>
            </w:r>
          </w:p>
          <w:p>
            <w:pPr>
              <w:adjustRightInd w:val="0"/>
              <w:snapToGrid w:val="0"/>
              <w:spacing w:line="360" w:lineRule="auto"/>
              <w:rPr>
                <w:rFonts w:hint="eastAsia"/>
                <w:lang w:val="en-US" w:eastAsia="zh-CN"/>
              </w:rPr>
            </w:pPr>
            <w:r>
              <w:rPr>
                <w:rFonts w:hint="default" w:ascii="Tahoma" w:hAnsi="Tahoma" w:eastAsia="EYInterstate Light" w:cs="Tahoma"/>
                <w:snapToGrid/>
                <w:color w:val="000000" w:themeColor="text1"/>
                <w:kern w:val="2"/>
                <w:szCs w:val="24"/>
                <w:lang w:val="en-US" w:eastAsia="zh-CN"/>
                <w14:textFill>
                  <w14:solidFill>
                    <w14:schemeClr w14:val="tx1"/>
                  </w14:solidFill>
                </w14:textFill>
              </w:rPr>
              <w:t>线路2：</w:t>
            </w:r>
            <w:r>
              <w:rPr>
                <w:rFonts w:hint="eastAsia"/>
                <w:lang w:val="en-US" w:eastAsia="zh-CN"/>
              </w:rPr>
              <w:t xml:space="preserve">       元</w:t>
            </w:r>
          </w:p>
          <w:p>
            <w:pPr>
              <w:adjustRightInd w:val="0"/>
              <w:snapToGrid w:val="0"/>
              <w:spacing w:line="360" w:lineRule="auto"/>
              <w:rPr>
                <w:rFonts w:hint="eastAsia"/>
                <w:lang w:val="en-US" w:eastAsia="zh-CN"/>
              </w:rPr>
            </w:pPr>
            <w:r>
              <w:rPr>
                <w:rFonts w:hint="default" w:ascii="Tahoma" w:hAnsi="Tahoma" w:eastAsia="EYInterstate Light" w:cs="Tahoma"/>
                <w:snapToGrid/>
                <w:kern w:val="2"/>
                <w:szCs w:val="24"/>
                <w:lang w:val="en-US" w:eastAsia="zh-CN"/>
              </w:rPr>
              <w:t>线路</w:t>
            </w:r>
            <w:r>
              <w:rPr>
                <w:rFonts w:hint="eastAsia" w:cs="Tahoma"/>
                <w:snapToGrid/>
                <w:kern w:val="2"/>
                <w:szCs w:val="24"/>
                <w:lang w:val="en-US" w:eastAsia="zh-CN"/>
              </w:rPr>
              <w:t>3</w:t>
            </w:r>
            <w:r>
              <w:rPr>
                <w:rFonts w:hint="default" w:ascii="Tahoma" w:hAnsi="Tahoma" w:eastAsia="EYInterstate Light" w:cs="Tahoma"/>
                <w:snapToGrid/>
                <w:kern w:val="2"/>
                <w:szCs w:val="24"/>
                <w:lang w:val="en-US" w:eastAsia="zh-CN"/>
              </w:rPr>
              <w:t>：</w:t>
            </w:r>
            <w:r>
              <w:rPr>
                <w:rFonts w:hint="eastAsia"/>
                <w:lang w:val="en-US" w:eastAsia="zh-CN"/>
              </w:rPr>
              <w:t xml:space="preserve">       元</w:t>
            </w:r>
          </w:p>
          <w:p>
            <w:pPr>
              <w:adjustRightInd w:val="0"/>
              <w:snapToGrid w:val="0"/>
              <w:spacing w:line="360" w:lineRule="auto"/>
              <w:rPr>
                <w:rFonts w:hint="default"/>
                <w:lang w:val="en-US" w:eastAsia="zh-CN"/>
              </w:rPr>
            </w:pPr>
            <w:r>
              <w:rPr>
                <w:rFonts w:hint="eastAsia"/>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277" w:type="dxa"/>
            <w:vAlign w:val="bottom"/>
          </w:tcPr>
          <w:p>
            <w:pPr>
              <w:adjustRightInd w:val="0"/>
              <w:snapToGrid w:val="0"/>
              <w:spacing w:line="360" w:lineRule="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实施周期</w:t>
            </w:r>
          </w:p>
        </w:tc>
        <w:tc>
          <w:tcPr>
            <w:tcW w:w="6245" w:type="dxa"/>
            <w:vAlign w:val="bottom"/>
          </w:tcPr>
          <w:p>
            <w:pPr>
              <w:adjustRightInd w:val="0"/>
              <w:snapToGrid w:val="0"/>
              <w:spacing w:line="360" w:lineRule="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满足招标文件要求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2277" w:type="dxa"/>
            <w:vAlign w:val="bottom"/>
          </w:tcPr>
          <w:p>
            <w:pPr>
              <w:adjustRightInd w:val="0"/>
              <w:snapToGrid w:val="0"/>
              <w:spacing w:line="360" w:lineRule="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项目负责人</w:t>
            </w:r>
          </w:p>
        </w:tc>
        <w:tc>
          <w:tcPr>
            <w:tcW w:w="6245" w:type="dxa"/>
            <w:vAlign w:val="bottom"/>
          </w:tcPr>
          <w:p>
            <w:pPr>
              <w:adjustRightInd w:val="0"/>
              <w:snapToGrid w:val="0"/>
              <w:spacing w:line="360" w:lineRule="auto"/>
              <w:rPr>
                <w:rFonts w:hint="eastAsia" w:ascii="宋体" w:hAnsi="宋体" w:eastAsia="宋体" w:cs="宋体"/>
                <w:snapToGrid w:val="0"/>
                <w:color w:val="000000" w:themeColor="text1"/>
                <w:kern w:val="0"/>
                <w:szCs w:val="21"/>
                <w14:textFill>
                  <w14:solidFill>
                    <w14:schemeClr w14:val="tx1"/>
                  </w14:solidFill>
                </w14:textFill>
              </w:rPr>
            </w:pPr>
          </w:p>
        </w:tc>
      </w:tr>
    </w:tbl>
    <w:p>
      <w:pPr>
        <w:adjustRightInd w:val="0"/>
        <w:snapToGrid w:val="0"/>
        <w:spacing w:line="360" w:lineRule="auto"/>
        <w:jc w:val="left"/>
        <w:rPr>
          <w:rFonts w:ascii="EYInterstate Light" w:hAnsi="EYInterstate Light"/>
          <w:snapToGrid w:val="0"/>
          <w:color w:val="000000" w:themeColor="text1"/>
          <w:kern w:val="0"/>
          <w:szCs w:val="21"/>
          <w14:textFill>
            <w14:solidFill>
              <w14:schemeClr w14:val="tx1"/>
            </w14:solidFill>
          </w14:textFill>
        </w:rPr>
      </w:pPr>
    </w:p>
    <w:p>
      <w:pPr>
        <w:adjustRightInd w:val="0"/>
        <w:snapToGrid w:val="0"/>
        <w:spacing w:line="360" w:lineRule="auto"/>
        <w:rPr>
          <w:rFonts w:ascii="EYInterstate Light" w:hAnsi="EYInterstate Light"/>
          <w:snapToGrid w:val="0"/>
          <w:color w:val="000000" w:themeColor="text1"/>
          <w:kern w:val="0"/>
          <w:szCs w:val="21"/>
          <w14:textFill>
            <w14:solidFill>
              <w14:schemeClr w14:val="tx1"/>
            </w14:solidFill>
          </w14:textFill>
        </w:rPr>
      </w:pPr>
    </w:p>
    <w:p>
      <w:pPr>
        <w:adjustRightInd w:val="0"/>
        <w:snapToGrid w:val="0"/>
        <w:spacing w:line="360" w:lineRule="auto"/>
        <w:rPr>
          <w:rFonts w:ascii="EYInterstate Light" w:hAnsi="EYInterstate Light"/>
          <w:snapToGrid w:val="0"/>
          <w:color w:val="000000" w:themeColor="text1"/>
          <w:kern w:val="0"/>
          <w:szCs w:val="21"/>
          <w14:textFill>
            <w14:solidFill>
              <w14:schemeClr w14:val="tx1"/>
            </w14:solidFill>
          </w14:textFill>
        </w:rPr>
      </w:pPr>
    </w:p>
    <w:p>
      <w:pPr>
        <w:adjustRightInd w:val="0"/>
        <w:snapToGrid w:val="0"/>
        <w:spacing w:line="360" w:lineRule="auto"/>
        <w:rPr>
          <w:rFonts w:ascii="EYInterstate Light" w:hAnsi="EYInterstate Light"/>
          <w:snapToGrid w:val="0"/>
          <w:color w:val="000000" w:themeColor="text1"/>
          <w:kern w:val="0"/>
          <w:szCs w:val="21"/>
          <w14:textFill>
            <w14:solidFill>
              <w14:schemeClr w14:val="tx1"/>
            </w14:solidFill>
          </w14:textFill>
        </w:rPr>
      </w:pP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投标人名称：（盖公章或电子签章或合同章）</w:t>
      </w: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法定代表人或其委托代理人：（签字或电子签名）</w:t>
      </w:r>
    </w:p>
    <w:p>
      <w:pPr>
        <w:pStyle w:val="27"/>
        <w:adjustRightInd w:val="0"/>
        <w:snapToGrid w:val="0"/>
        <w:spacing w:line="360" w:lineRule="auto"/>
        <w:rPr>
          <w:rFonts w:hint="eastAsia" w:ascii="宋体" w:hAnsi="宋体" w:eastAsia="宋体" w:cs="宋体"/>
          <w:snapToGrid w:val="0"/>
          <w:color w:val="000000" w:themeColor="text1"/>
          <w:kern w:val="0"/>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日</w:t>
      </w:r>
    </w:p>
    <w:p>
      <w:pPr>
        <w:widowControl/>
        <w:jc w:val="right"/>
        <w:rPr>
          <w:rFonts w:ascii="EYInterstate Light" w:hAnsi="EYInterstate Light"/>
          <w:iCs/>
          <w:color w:val="000000" w:themeColor="text1"/>
          <w:sz w:val="24"/>
          <w14:textFill>
            <w14:solidFill>
              <w14:schemeClr w14:val="tx1"/>
            </w14:solidFill>
          </w14:textFill>
        </w:rPr>
      </w:pPr>
    </w:p>
    <w:p>
      <w:pPr>
        <w:widowControl/>
        <w:rPr>
          <w:rFonts w:ascii="EYInterstate Light" w:hAnsi="EYInterstate Light"/>
          <w:i/>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bidi w:val="0"/>
        <w:rPr>
          <w:rFonts w:ascii="宋体" w:hAnsi="宋体" w:eastAsia="宋体"/>
          <w:b/>
          <w:bCs/>
          <w:i/>
          <w:color w:val="000000" w:themeColor="text1"/>
          <w:sz w:val="24"/>
          <w:szCs w:val="24"/>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bookmarkStart w:id="558" w:name="_Toc227057968"/>
      <w:bookmarkStart w:id="559" w:name="_Toc368993659"/>
      <w:bookmarkStart w:id="560" w:name="_Toc107822560"/>
      <w:bookmarkStart w:id="561" w:name="_Toc226969362"/>
      <w:bookmarkStart w:id="562" w:name="_Toc371002591"/>
      <w:bookmarkStart w:id="563" w:name="_Toc85736540"/>
      <w:bookmarkStart w:id="564" w:name="_Toc534142829"/>
      <w:bookmarkStart w:id="565" w:name="_Toc90407514"/>
      <w:bookmarkStart w:id="566" w:name="_Toc85736446"/>
      <w:bookmarkStart w:id="567" w:name="_Toc488655909"/>
      <w:r>
        <w:rPr>
          <w:rFonts w:hint="eastAsia" w:ascii="EYInterstate Light" w:hAnsi="EYInterstate Light"/>
          <w:color w:val="000000" w:themeColor="text1"/>
          <w:sz w:val="24"/>
          <w:lang w:val="en-US" w:eastAsia="zh-CN"/>
          <w14:textFill>
            <w14:solidFill>
              <w14:schemeClr w14:val="tx1"/>
            </w14:solidFill>
          </w14:textFill>
        </w:rPr>
        <w:t xml:space="preserve">    </w:t>
      </w:r>
      <w:r>
        <w:rPr>
          <w:rFonts w:hint="eastAsia" w:ascii="宋体" w:hAnsi="宋体" w:eastAsia="宋体" w:cs="宋体"/>
          <w:b/>
          <w:bCs/>
          <w:color w:val="000000" w:themeColor="text1"/>
          <w:sz w:val="24"/>
          <w:lang w:eastAsia="zh-CN"/>
          <w14:textFill>
            <w14:solidFill>
              <w14:schemeClr w14:val="tx1"/>
            </w14:solidFill>
          </w14:textFill>
        </w:rPr>
        <w:t>（</w:t>
      </w:r>
      <w:r>
        <w:rPr>
          <w:rFonts w:hint="eastAsia" w:ascii="宋体" w:hAnsi="宋体" w:eastAsia="宋体" w:cs="宋体"/>
          <w:b/>
          <w:bCs/>
          <w:color w:val="000000" w:themeColor="text1"/>
          <w:sz w:val="24"/>
          <w:lang w:val="en-US" w:eastAsia="zh-CN"/>
          <w14:textFill>
            <w14:solidFill>
              <w14:schemeClr w14:val="tx1"/>
            </w14:solidFill>
          </w14:textFill>
        </w:rPr>
        <w:t>三</w:t>
      </w:r>
      <w:r>
        <w:rPr>
          <w:rFonts w:hint="eastAsia" w:ascii="宋体" w:hAnsi="宋体" w:eastAsia="宋体" w:cs="宋体"/>
          <w:b/>
          <w:bCs/>
          <w:color w:val="000000" w:themeColor="text1"/>
          <w:sz w:val="24"/>
          <w:lang w:eastAsia="zh-CN"/>
          <w14:textFill>
            <w14:solidFill>
              <w14:schemeClr w14:val="tx1"/>
            </w14:solidFill>
          </w14:textFill>
        </w:rPr>
        <w:t>）</w:t>
      </w:r>
      <w:r>
        <w:rPr>
          <w:rFonts w:hint="eastAsia" w:ascii="宋体" w:hAnsi="宋体" w:eastAsia="宋体" w:cs="宋体"/>
          <w:b/>
          <w:bCs/>
          <w:color w:val="000000" w:themeColor="text1"/>
          <w:sz w:val="24"/>
          <w:szCs w:val="24"/>
          <w:lang w:val="en-US" w:eastAsia="zh-CN"/>
          <w14:textFill>
            <w14:solidFill>
              <w14:schemeClr w14:val="tx1"/>
            </w14:solidFill>
          </w14:textFill>
        </w:rPr>
        <w:t>报价明细表</w:t>
      </w:r>
      <w:bookmarkEnd w:id="558"/>
      <w:bookmarkEnd w:id="559"/>
      <w:bookmarkEnd w:id="560"/>
      <w:bookmarkEnd w:id="561"/>
      <w:bookmarkEnd w:id="562"/>
      <w:bookmarkEnd w:id="563"/>
      <w:bookmarkEnd w:id="564"/>
      <w:bookmarkEnd w:id="565"/>
      <w:bookmarkEnd w:id="566"/>
    </w:p>
    <w:tbl>
      <w:tblPr>
        <w:tblStyle w:val="48"/>
        <w:tblW w:w="8331" w:type="dxa"/>
        <w:tblInd w:w="288" w:type="dxa"/>
        <w:tblLayout w:type="fixed"/>
        <w:tblCellMar>
          <w:top w:w="0" w:type="dxa"/>
          <w:left w:w="108" w:type="dxa"/>
          <w:bottom w:w="0" w:type="dxa"/>
          <w:right w:w="108" w:type="dxa"/>
        </w:tblCellMar>
      </w:tblPr>
      <w:tblGrid>
        <w:gridCol w:w="713"/>
        <w:gridCol w:w="2644"/>
        <w:gridCol w:w="1159"/>
        <w:gridCol w:w="779"/>
        <w:gridCol w:w="1005"/>
        <w:gridCol w:w="1080"/>
        <w:gridCol w:w="951"/>
      </w:tblGrid>
      <w:tr>
        <w:tblPrEx>
          <w:tblCellMar>
            <w:top w:w="0" w:type="dxa"/>
            <w:left w:w="108" w:type="dxa"/>
            <w:bottom w:w="0" w:type="dxa"/>
            <w:right w:w="108" w:type="dxa"/>
          </w:tblCellMar>
        </w:tblPrEx>
        <w:trPr>
          <w:trHeight w:val="555"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序号</w:t>
            </w:r>
          </w:p>
        </w:tc>
        <w:tc>
          <w:tcPr>
            <w:tcW w:w="264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报价内容</w:t>
            </w:r>
          </w:p>
        </w:tc>
        <w:tc>
          <w:tcPr>
            <w:tcW w:w="115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jc w:val="center"/>
              <w:rPr>
                <w:rFonts w:hint="default" w:ascii="宋体" w:hAnsi="宋体" w:eastAsia="宋体" w:cs="宋体"/>
                <w:b/>
                <w:bCs/>
                <w:color w:val="000000" w:themeColor="text1"/>
                <w:szCs w:val="21"/>
                <w:lang w:val="en-US" w:eastAsia="zh-CN"/>
                <w14:textFill>
                  <w14:solidFill>
                    <w14:schemeClr w14:val="tx1"/>
                  </w14:solidFill>
                </w14:textFill>
              </w:rPr>
            </w:pPr>
            <w:r>
              <w:rPr>
                <w:rFonts w:hint="eastAsia" w:ascii="宋体" w:hAnsi="宋体" w:eastAsia="宋体" w:cs="宋体"/>
                <w:b/>
                <w:bCs/>
                <w:color w:val="000000" w:themeColor="text1"/>
                <w:szCs w:val="21"/>
                <w:lang w:val="en-US" w:eastAsia="zh-CN"/>
                <w14:textFill>
                  <w14:solidFill>
                    <w14:schemeClr w14:val="tx1"/>
                  </w14:solidFill>
                </w14:textFill>
              </w:rPr>
              <w:t>住宿标准</w:t>
            </w: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jc w:val="center"/>
              <w:rPr>
                <w:rFonts w:hint="default" w:ascii="宋体" w:hAnsi="宋体" w:eastAsia="宋体" w:cs="宋体"/>
                <w:b/>
                <w:bCs/>
                <w:color w:val="000000" w:themeColor="text1"/>
                <w:szCs w:val="21"/>
                <w:lang w:val="en-US" w:eastAsia="zh-CN"/>
                <w14:textFill>
                  <w14:solidFill>
                    <w14:schemeClr w14:val="tx1"/>
                  </w14:solidFill>
                </w14:textFill>
              </w:rPr>
            </w:pPr>
            <w:r>
              <w:rPr>
                <w:rFonts w:hint="eastAsia" w:ascii="宋体" w:hAnsi="宋体" w:eastAsia="宋体" w:cs="宋体"/>
                <w:b/>
                <w:bCs/>
                <w:color w:val="000000" w:themeColor="text1"/>
                <w:szCs w:val="21"/>
                <w:lang w:val="en-US" w:eastAsia="zh-CN"/>
                <w14:textFill>
                  <w14:solidFill>
                    <w14:schemeClr w14:val="tx1"/>
                  </w14:solidFill>
                </w14:textFill>
              </w:rPr>
              <w:t>每日餐标</w:t>
            </w: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jc w:val="center"/>
              <w:rPr>
                <w:rFonts w:hint="default" w:ascii="宋体" w:hAnsi="宋体" w:eastAsia="宋体" w:cs="宋体"/>
                <w:b/>
                <w:bCs/>
                <w:color w:val="000000" w:themeColor="text1"/>
                <w:szCs w:val="21"/>
                <w:lang w:val="en-US" w:eastAsia="zh-CN"/>
                <w14:textFill>
                  <w14:solidFill>
                    <w14:schemeClr w14:val="tx1"/>
                  </w14:solidFill>
                </w14:textFill>
              </w:rPr>
            </w:pPr>
            <w:r>
              <w:rPr>
                <w:rFonts w:hint="eastAsia" w:ascii="宋体" w:hAnsi="宋体" w:eastAsia="宋体" w:cs="宋体"/>
                <w:b/>
                <w:bCs/>
                <w:color w:val="000000" w:themeColor="text1"/>
                <w:szCs w:val="21"/>
                <w:lang w:val="en-US" w:eastAsia="zh-CN"/>
                <w14:textFill>
                  <w14:solidFill>
                    <w14:schemeClr w14:val="tx1"/>
                  </w14:solidFill>
                </w14:textFill>
              </w:rPr>
              <w:t>主要景点</w:t>
            </w: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合价</w:t>
            </w: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b/>
                <w:bCs/>
                <w:color w:val="000000" w:themeColor="text1"/>
                <w:szCs w:val="21"/>
                <w14:textFill>
                  <w14:solidFill>
                    <w14:schemeClr w14:val="tx1"/>
                  </w14:solidFill>
                </w14:textFill>
              </w:rPr>
              <w:t>备注</w:t>
            </w: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1</w:t>
            </w:r>
          </w:p>
        </w:tc>
        <w:tc>
          <w:tcPr>
            <w:tcW w:w="2644" w:type="dxa"/>
            <w:tcBorders>
              <w:top w:val="single" w:color="auto" w:sz="4" w:space="0"/>
              <w:left w:val="nil"/>
              <w:bottom w:val="single" w:color="auto" w:sz="4" w:space="0"/>
              <w:right w:val="single" w:color="auto" w:sz="4" w:space="0"/>
            </w:tcBorders>
            <w:vAlign w:val="center"/>
          </w:tcPr>
          <w:p>
            <w:pPr>
              <w:widowControl/>
              <w:snapToGrid w:val="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路线1</w:t>
            </w:r>
          </w:p>
        </w:tc>
        <w:tc>
          <w:tcPr>
            <w:tcW w:w="115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2</w:t>
            </w:r>
          </w:p>
        </w:tc>
        <w:tc>
          <w:tcPr>
            <w:tcW w:w="2644" w:type="dxa"/>
            <w:tcBorders>
              <w:top w:val="single" w:color="auto" w:sz="4" w:space="0"/>
              <w:left w:val="nil"/>
              <w:bottom w:val="single" w:color="auto" w:sz="4" w:space="0"/>
              <w:right w:val="single" w:color="auto" w:sz="4" w:space="0"/>
            </w:tcBorders>
            <w:vAlign w:val="center"/>
          </w:tcPr>
          <w:p>
            <w:pPr>
              <w:widowControl/>
              <w:snapToGrid w:val="0"/>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路线2</w:t>
            </w:r>
          </w:p>
        </w:tc>
        <w:tc>
          <w:tcPr>
            <w:tcW w:w="115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3</w:t>
            </w:r>
          </w:p>
        </w:tc>
        <w:tc>
          <w:tcPr>
            <w:tcW w:w="264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default" w:ascii="宋体" w:hAnsi="宋体" w:eastAsia="宋体" w:cs="宋体"/>
                <w:color w:val="000000" w:themeColor="text1"/>
                <w:szCs w:val="21"/>
                <w:lang w:val="en-US"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w:t>
            </w:r>
          </w:p>
        </w:tc>
        <w:tc>
          <w:tcPr>
            <w:tcW w:w="115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4</w:t>
            </w:r>
          </w:p>
        </w:tc>
        <w:tc>
          <w:tcPr>
            <w:tcW w:w="264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15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5</w:t>
            </w:r>
          </w:p>
        </w:tc>
        <w:tc>
          <w:tcPr>
            <w:tcW w:w="2644" w:type="dxa"/>
            <w:tcBorders>
              <w:top w:val="single" w:color="auto" w:sz="4" w:space="0"/>
              <w:left w:val="nil"/>
              <w:bottom w:val="single" w:color="auto" w:sz="4" w:space="0"/>
              <w:right w:val="single" w:color="auto" w:sz="4" w:space="0"/>
            </w:tcBorders>
            <w:vAlign w:val="center"/>
          </w:tcPr>
          <w:p>
            <w:pPr>
              <w:widowControl/>
              <w:snapToGrid w:val="0"/>
              <w:rPr>
                <w:rFonts w:hint="eastAsia" w:ascii="宋体" w:hAnsi="宋体" w:eastAsia="宋体" w:cs="宋体"/>
                <w:color w:val="000000" w:themeColor="text1"/>
                <w:szCs w:val="21"/>
                <w14:textFill>
                  <w14:solidFill>
                    <w14:schemeClr w14:val="tx1"/>
                  </w14:solidFill>
                </w14:textFill>
              </w:rPr>
            </w:pPr>
          </w:p>
        </w:tc>
        <w:tc>
          <w:tcPr>
            <w:tcW w:w="115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6</w:t>
            </w:r>
          </w:p>
        </w:tc>
        <w:tc>
          <w:tcPr>
            <w:tcW w:w="2644" w:type="dxa"/>
            <w:tcBorders>
              <w:top w:val="single" w:color="auto" w:sz="4" w:space="0"/>
              <w:left w:val="nil"/>
              <w:bottom w:val="single" w:color="auto" w:sz="4" w:space="0"/>
              <w:right w:val="single" w:color="auto" w:sz="4" w:space="0"/>
            </w:tcBorders>
            <w:vAlign w:val="center"/>
          </w:tcPr>
          <w:p>
            <w:pPr>
              <w:widowControl/>
              <w:snapToGrid w:val="0"/>
              <w:rPr>
                <w:rFonts w:hint="eastAsia" w:ascii="宋体" w:hAnsi="宋体" w:eastAsia="宋体" w:cs="宋体"/>
                <w:color w:val="000000" w:themeColor="text1"/>
                <w:szCs w:val="21"/>
                <w14:textFill>
                  <w14:solidFill>
                    <w14:schemeClr w14:val="tx1"/>
                  </w14:solidFill>
                </w14:textFill>
              </w:rPr>
            </w:pPr>
          </w:p>
        </w:tc>
        <w:tc>
          <w:tcPr>
            <w:tcW w:w="115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7</w:t>
            </w:r>
          </w:p>
        </w:tc>
        <w:tc>
          <w:tcPr>
            <w:tcW w:w="264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15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color w:val="000000" w:themeColor="text1"/>
                <w:szCs w:val="21"/>
                <w:lang w:eastAsia="zh-CN"/>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8</w:t>
            </w:r>
          </w:p>
        </w:tc>
        <w:tc>
          <w:tcPr>
            <w:tcW w:w="264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15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w:t>
            </w:r>
          </w:p>
        </w:tc>
        <w:tc>
          <w:tcPr>
            <w:tcW w:w="264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15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264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15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454" w:hRule="atLeast"/>
        </w:trPr>
        <w:tc>
          <w:tcPr>
            <w:tcW w:w="7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2644"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15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779"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05"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1080"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c>
          <w:tcPr>
            <w:tcW w:w="951" w:type="dxa"/>
            <w:tcBorders>
              <w:top w:val="single" w:color="auto" w:sz="4" w:space="0"/>
              <w:left w:val="nil"/>
              <w:bottom w:val="single" w:color="auto" w:sz="4" w:space="0"/>
              <w:right w:val="single" w:color="auto" w:sz="4" w:space="0"/>
            </w:tcBorders>
            <w:vAlign w:val="center"/>
          </w:tcPr>
          <w:p>
            <w:pPr>
              <w:autoSpaceDE w:val="0"/>
              <w:autoSpaceDN w:val="0"/>
              <w:adjustRightInd w:val="0"/>
              <w:snapToGrid w:val="0"/>
              <w:rPr>
                <w:rFonts w:hint="eastAsia" w:ascii="宋体" w:hAnsi="宋体" w:eastAsia="宋体" w:cs="宋体"/>
                <w:color w:val="000000" w:themeColor="text1"/>
                <w:szCs w:val="21"/>
                <w14:textFill>
                  <w14:solidFill>
                    <w14:schemeClr w14:val="tx1"/>
                  </w14:solidFill>
                </w14:textFill>
              </w:rPr>
            </w:pPr>
          </w:p>
        </w:tc>
      </w:tr>
    </w:tbl>
    <w:p>
      <w:pPr>
        <w:rPr>
          <w:rFonts w:ascii="宋体" w:hAnsi="宋体"/>
          <w:color w:val="000000" w:themeColor="text1"/>
          <w14:textFill>
            <w14:solidFill>
              <w14:schemeClr w14:val="tx1"/>
            </w14:solidFill>
          </w14:textFill>
        </w:rPr>
      </w:pPr>
    </w:p>
    <w:bookmarkEnd w:id="567"/>
    <w:p>
      <w:pPr>
        <w:adjustRightInd w:val="0"/>
        <w:snapToGrid w:val="0"/>
        <w:spacing w:line="360" w:lineRule="auto"/>
        <w:ind w:firstLine="420" w:firstLineChars="200"/>
        <w:jc w:val="right"/>
        <w:rPr>
          <w:rFonts w:ascii="宋体" w:hAnsi="宋体"/>
          <w:color w:val="000000" w:themeColor="text1"/>
          <w:szCs w:val="21"/>
          <w14:textFill>
            <w14:solidFill>
              <w14:schemeClr w14:val="tx1"/>
            </w14:solidFill>
          </w14:textFill>
        </w:rPr>
      </w:pP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注：各投标人应根据报价内容对报价明细表进行充分分析报价，</w:t>
      </w:r>
      <w:r>
        <w:rPr>
          <w:rFonts w:hint="eastAsia" w:ascii="宋体" w:hAnsi="宋体" w:eastAsia="宋体" w:cs="宋体"/>
          <w:snapToGrid w:val="0"/>
          <w:color w:val="000000" w:themeColor="text1"/>
          <w:kern w:val="0"/>
          <w:szCs w:val="21"/>
          <w14:textFill>
            <w14:solidFill>
              <w14:schemeClr w14:val="tx1"/>
            </w14:solidFill>
          </w14:textFill>
        </w:rPr>
        <w:t>本项目为</w:t>
      </w:r>
      <w:r>
        <w:rPr>
          <w:rFonts w:hint="eastAsia" w:ascii="宋体" w:hAnsi="宋体" w:eastAsia="宋体" w:cs="宋体"/>
          <w:snapToGrid w:val="0"/>
          <w:color w:val="000000" w:themeColor="text1"/>
          <w:kern w:val="0"/>
          <w:szCs w:val="21"/>
          <w:lang w:eastAsia="zh-CN"/>
          <w14:textFill>
            <w14:solidFill>
              <w14:schemeClr w14:val="tx1"/>
            </w14:solidFill>
          </w14:textFill>
        </w:rPr>
        <w:t>固定单价包干</w:t>
      </w:r>
      <w:r>
        <w:rPr>
          <w:rFonts w:hint="eastAsia" w:ascii="宋体" w:hAnsi="宋体" w:eastAsia="宋体" w:cs="宋体"/>
          <w:snapToGrid w:val="0"/>
          <w:color w:val="000000" w:themeColor="text1"/>
          <w:kern w:val="0"/>
          <w:szCs w:val="21"/>
          <w14:textFill>
            <w14:solidFill>
              <w14:schemeClr w14:val="tx1"/>
            </w14:solidFill>
          </w14:textFill>
        </w:rPr>
        <w:t>项目，投标报价已包含完成项目所需的全部费用，后续不</w:t>
      </w:r>
      <w:r>
        <w:rPr>
          <w:rFonts w:hint="eastAsia" w:ascii="宋体" w:hAnsi="宋体" w:eastAsia="宋体" w:cs="宋体"/>
          <w:snapToGrid w:val="0"/>
          <w:color w:val="000000" w:themeColor="text1"/>
          <w:kern w:val="0"/>
          <w:szCs w:val="21"/>
          <w:lang w:val="en-US" w:eastAsia="zh-CN"/>
          <w14:textFill>
            <w14:solidFill>
              <w14:schemeClr w14:val="tx1"/>
            </w14:solidFill>
          </w14:textFill>
        </w:rPr>
        <w:t>再</w:t>
      </w:r>
      <w:r>
        <w:rPr>
          <w:rFonts w:hint="eastAsia" w:ascii="宋体" w:hAnsi="宋体" w:eastAsia="宋体" w:cs="宋体"/>
          <w:snapToGrid w:val="0"/>
          <w:color w:val="000000" w:themeColor="text1"/>
          <w:kern w:val="0"/>
          <w:szCs w:val="21"/>
          <w14:textFill>
            <w14:solidFill>
              <w14:schemeClr w14:val="tx1"/>
            </w14:solidFill>
          </w14:textFill>
        </w:rPr>
        <w:t>追加</w:t>
      </w:r>
      <w:r>
        <w:rPr>
          <w:rFonts w:hint="eastAsia" w:ascii="宋体" w:hAnsi="宋体" w:eastAsia="宋体" w:cs="宋体"/>
          <w:color w:val="000000" w:themeColor="text1"/>
          <w:szCs w:val="21"/>
          <w14:textFill>
            <w14:solidFill>
              <w14:schemeClr w14:val="tx1"/>
            </w14:solidFill>
          </w14:textFill>
        </w:rPr>
        <w:t>。</w:t>
      </w: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p>
    <w:p>
      <w:pPr>
        <w:adjustRightInd w:val="0"/>
        <w:snapToGrid w:val="0"/>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投标人名称：（盖公章或电子签章或合同章）</w:t>
      </w:r>
    </w:p>
    <w:p>
      <w:pPr>
        <w:adjustRightInd w:val="0"/>
        <w:snapToGrid w:val="0"/>
        <w:spacing w:line="360" w:lineRule="auto"/>
        <w:ind w:firstLine="420" w:firstLineChars="200"/>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法定代表人或其委托代理人：（签字或电子签名）</w:t>
      </w:r>
    </w:p>
    <w:p>
      <w:pPr>
        <w:adjustRightInd w:val="0"/>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日</w:t>
      </w: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color w:val="000000" w:themeColor="text1"/>
          <w:sz w:val="24"/>
          <w14:textFill>
            <w14:solidFill>
              <w14:schemeClr w14:val="tx1"/>
            </w14:solidFill>
          </w14:textFill>
        </w:rPr>
      </w:pPr>
    </w:p>
    <w:p>
      <w:pPr>
        <w:widowControl/>
        <w:rPr>
          <w:rFonts w:ascii="EYInterstate Light" w:hAnsi="EYInterstate Light" w:eastAsia="宋体"/>
          <w:color w:val="000000" w:themeColor="text1"/>
          <w:sz w:val="24"/>
          <w14:textFill>
            <w14:solidFill>
              <w14:schemeClr w14:val="tx1"/>
            </w14:solidFill>
          </w14:textFill>
        </w:rPr>
      </w:pPr>
    </w:p>
    <w:p>
      <w:pPr>
        <w:pStyle w:val="34"/>
        <w:rPr>
          <w:color w:val="000000" w:themeColor="text1"/>
          <w14:textFill>
            <w14:solidFill>
              <w14:schemeClr w14:val="tx1"/>
            </w14:solidFill>
          </w14:textFill>
        </w:rPr>
      </w:pPr>
    </w:p>
    <w:p>
      <w:pPr>
        <w:rPr>
          <w:rFonts w:eastAsia="宋体"/>
          <w:color w:val="000000" w:themeColor="text1"/>
          <w14:textFill>
            <w14:solidFill>
              <w14:schemeClr w14:val="tx1"/>
            </w14:solidFill>
          </w14:textFill>
        </w:rPr>
      </w:pPr>
    </w:p>
    <w:p>
      <w:pPr>
        <w:pStyle w:val="34"/>
        <w:rPr>
          <w:color w:val="000000" w:themeColor="text1"/>
          <w14:textFill>
            <w14:solidFill>
              <w14:schemeClr w14:val="tx1"/>
            </w14:solidFill>
          </w14:textFill>
        </w:rPr>
      </w:pPr>
    </w:p>
    <w:p>
      <w:pPr>
        <w:rPr>
          <w:rFonts w:eastAsia="宋体"/>
          <w:color w:val="000000" w:themeColor="text1"/>
          <w14:textFill>
            <w14:solidFill>
              <w14:schemeClr w14:val="tx1"/>
            </w14:solidFill>
          </w14:textFill>
        </w:rPr>
      </w:pPr>
    </w:p>
    <w:p>
      <w:pPr>
        <w:adjustRightInd w:val="0"/>
        <w:snapToGrid w:val="0"/>
        <w:spacing w:line="360" w:lineRule="auto"/>
        <w:ind w:firstLine="3465" w:firstLineChars="1650"/>
        <w:rPr>
          <w:rFonts w:hAnsi="EYInterstate Light"/>
          <w:color w:val="000000" w:themeColor="text1"/>
          <w:szCs w:val="21"/>
          <w14:textFill>
            <w14:solidFill>
              <w14:schemeClr w14:val="tx1"/>
            </w14:solidFill>
          </w14:textFill>
        </w:rPr>
      </w:pPr>
    </w:p>
    <w:p>
      <w:pPr>
        <w:pStyle w:val="6"/>
        <w:keepNext/>
        <w:keepLines/>
        <w:pageBreakBefore w:val="0"/>
        <w:widowControl w:val="0"/>
        <w:numPr>
          <w:ilvl w:val="0"/>
          <w:numId w:val="58"/>
        </w:numPr>
        <w:kinsoku/>
        <w:wordWrap/>
        <w:overflowPunct/>
        <w:topLinePunct w:val="0"/>
        <w:autoSpaceDE/>
        <w:autoSpaceDN/>
        <w:bidi w:val="0"/>
        <w:spacing w:before="0" w:after="0" w:line="360" w:lineRule="auto"/>
        <w:ind w:left="0" w:firstLine="640" w:firstLineChars="200"/>
        <w:textAlignment w:val="auto"/>
        <w:rPr>
          <w:rFonts w:hint="eastAsia" w:ascii="宋体" w:hAnsi="宋体" w:cs="宋体"/>
        </w:rPr>
      </w:pPr>
      <w:bookmarkStart w:id="568" w:name="_Toc18100"/>
      <w:bookmarkStart w:id="569" w:name="_Toc2154"/>
      <w:bookmarkStart w:id="570" w:name="_Toc5530"/>
      <w:bookmarkStart w:id="571" w:name="_Toc24979"/>
      <w:bookmarkStart w:id="572" w:name="_Toc70626991"/>
      <w:bookmarkStart w:id="573" w:name="_Toc30419"/>
      <w:bookmarkStart w:id="574" w:name="_Toc12330"/>
      <w:bookmarkStart w:id="575" w:name="_Toc30770"/>
      <w:bookmarkStart w:id="576" w:name="_Toc21354"/>
      <w:bookmarkStart w:id="577" w:name="_Toc53245896"/>
      <w:bookmarkStart w:id="578" w:name="_Toc26671"/>
      <w:bookmarkStart w:id="579" w:name="_Toc25964"/>
      <w:bookmarkStart w:id="580" w:name="_Toc23500"/>
      <w:bookmarkStart w:id="581" w:name="_Toc17512"/>
      <w:bookmarkStart w:id="582" w:name="_Toc368993660"/>
      <w:bookmarkStart w:id="583" w:name="_Toc371002592"/>
      <w:bookmarkStart w:id="584" w:name="_Toc534142830"/>
      <w:r>
        <w:rPr>
          <w:rFonts w:hint="eastAsia" w:ascii="宋体" w:hAnsi="宋体" w:cs="宋体"/>
        </w:rPr>
        <w:t>商务文件</w:t>
      </w:r>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p>
    <w:p>
      <w:pPr>
        <w:bidi w:val="0"/>
        <w:jc w:val="center"/>
        <w:rPr>
          <w:rFonts w:hint="eastAsia" w:ascii="宋体" w:hAnsi="宋体" w:eastAsia="宋体" w:cs="宋体"/>
        </w:rPr>
      </w:pPr>
      <w:bookmarkStart w:id="585" w:name="_Toc46421280"/>
      <w:bookmarkStart w:id="586" w:name="_Toc53245897"/>
      <w:bookmarkStart w:id="587" w:name="_Toc90407516"/>
      <w:bookmarkStart w:id="588" w:name="_Toc53246088"/>
      <w:bookmarkStart w:id="589" w:name="_Toc70626992"/>
      <w:bookmarkStart w:id="590" w:name="_Toc85736542"/>
      <w:bookmarkStart w:id="591" w:name="_Toc85736448"/>
      <w:r>
        <w:rPr>
          <w:rFonts w:hint="eastAsia" w:ascii="宋体" w:hAnsi="宋体" w:eastAsia="宋体" w:cs="宋体"/>
        </w:rPr>
        <w:t>目录</w:t>
      </w:r>
      <w:bookmarkEnd w:id="585"/>
      <w:bookmarkEnd w:id="586"/>
      <w:bookmarkEnd w:id="587"/>
      <w:bookmarkEnd w:id="588"/>
      <w:bookmarkEnd w:id="589"/>
      <w:bookmarkEnd w:id="590"/>
      <w:bookmarkEnd w:id="591"/>
    </w:p>
    <w:p>
      <w:pPr>
        <w:bidi w:val="0"/>
        <w:rPr>
          <w:b/>
          <w:bCs/>
          <w:snapToGrid w:val="0"/>
          <w:color w:val="000000" w:themeColor="text1"/>
          <w:kern w:val="0"/>
          <w:sz w:val="24"/>
          <w:szCs w:val="24"/>
          <w14:textFill>
            <w14:solidFill>
              <w14:schemeClr w14:val="tx1"/>
            </w14:solidFill>
          </w14:textFill>
        </w:rPr>
      </w:pPr>
      <w:bookmarkStart w:id="592" w:name="_Toc70626993"/>
      <w:bookmarkStart w:id="593" w:name="_Toc53246089"/>
      <w:bookmarkStart w:id="594" w:name="_Toc90407517"/>
      <w:bookmarkStart w:id="595" w:name="_Toc46421281"/>
      <w:bookmarkStart w:id="596" w:name="_Toc85736449"/>
      <w:bookmarkStart w:id="597" w:name="_Toc53245898"/>
      <w:bookmarkStart w:id="598" w:name="_Toc85736543"/>
      <w:r>
        <w:rPr>
          <w:rFonts w:hint="eastAsia" w:ascii="宋体" w:hAnsi="宋体" w:eastAsia="宋体" w:cs="宋体"/>
          <w:b w:val="0"/>
          <w:bCs w:val="0"/>
          <w:snapToGrid w:val="0"/>
          <w:color w:val="000000" w:themeColor="text1"/>
          <w:kern w:val="0"/>
          <w:sz w:val="21"/>
          <w:szCs w:val="21"/>
          <w14:textFill>
            <w14:solidFill>
              <w14:schemeClr w14:val="tx1"/>
            </w14:solidFill>
          </w14:textFill>
        </w:rPr>
        <w:t>参照第二章投标人须知</w:t>
      </w:r>
      <w:r>
        <w:rPr>
          <w:rFonts w:hint="eastAsia" w:ascii="宋体" w:hAnsi="宋体" w:eastAsia="宋体" w:cs="宋体"/>
          <w:b w:val="0"/>
          <w:bCs w:val="0"/>
          <w:snapToGrid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snapToGrid w:val="0"/>
          <w:color w:val="000000" w:themeColor="text1"/>
          <w:kern w:val="0"/>
          <w:sz w:val="21"/>
          <w:szCs w:val="21"/>
          <w14:textFill>
            <w14:solidFill>
              <w14:schemeClr w14:val="tx1"/>
            </w14:solidFill>
          </w14:textFill>
        </w:rPr>
        <w:t>商务文件</w:t>
      </w:r>
      <w:r>
        <w:rPr>
          <w:rFonts w:hint="eastAsia" w:ascii="宋体" w:hAnsi="宋体" w:eastAsia="宋体" w:cs="宋体"/>
          <w:b w:val="0"/>
          <w:bCs w:val="0"/>
          <w:snapToGrid w:val="0"/>
          <w:color w:val="000000" w:themeColor="text1"/>
          <w:kern w:val="0"/>
          <w:sz w:val="21"/>
          <w:szCs w:val="21"/>
          <w:lang w:eastAsia="zh-CN"/>
          <w14:textFill>
            <w14:solidFill>
              <w14:schemeClr w14:val="tx1"/>
            </w14:solidFill>
          </w14:textFill>
        </w:rPr>
        <w:t>】</w:t>
      </w:r>
      <w:r>
        <w:rPr>
          <w:rFonts w:hint="eastAsia" w:ascii="宋体" w:hAnsi="宋体" w:eastAsia="宋体" w:cs="宋体"/>
          <w:b w:val="0"/>
          <w:bCs w:val="0"/>
          <w:snapToGrid w:val="0"/>
          <w:color w:val="000000" w:themeColor="text1"/>
          <w:kern w:val="0"/>
          <w:sz w:val="21"/>
          <w:szCs w:val="21"/>
          <w14:textFill>
            <w14:solidFill>
              <w14:schemeClr w14:val="tx1"/>
            </w14:solidFill>
          </w14:textFill>
        </w:rPr>
        <w:t>（部分参考格式附后）</w:t>
      </w:r>
      <w:r>
        <w:rPr>
          <w:rFonts w:hint="eastAsia" w:ascii="宋体" w:hAnsi="宋体" w:eastAsia="宋体" w:cs="宋体"/>
          <w:snapToGrid w:val="0"/>
          <w:color w:val="000000" w:themeColor="text1"/>
          <w:kern w:val="0"/>
          <w:sz w:val="21"/>
          <w:szCs w:val="21"/>
          <w14:textFill>
            <w14:solidFill>
              <w14:schemeClr w14:val="tx1"/>
            </w14:solidFill>
          </w14:textFill>
        </w:rPr>
        <w:br w:type="page"/>
      </w:r>
      <w:bookmarkStart w:id="599" w:name="_Toc46421282"/>
      <w:bookmarkStart w:id="600" w:name="_Toc85736544"/>
      <w:bookmarkStart w:id="601" w:name="_Toc85736450"/>
      <w:bookmarkStart w:id="602" w:name="_Toc90407518"/>
      <w:bookmarkStart w:id="603" w:name="_Toc53246090"/>
      <w:bookmarkStart w:id="604" w:name="_Toc53245899"/>
      <w:r>
        <w:rPr>
          <w:rFonts w:hint="eastAsia" w:ascii="宋体" w:hAnsi="宋体" w:eastAsia="宋体" w:cs="宋体"/>
          <w:snapToGrid w:val="0"/>
          <w:color w:val="000000" w:themeColor="text1"/>
          <w:kern w:val="0"/>
          <w:sz w:val="21"/>
          <w:szCs w:val="21"/>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lang w:eastAsia="zh-CN"/>
          <w14:textFill>
            <w14:solidFill>
              <w14:schemeClr w14:val="tx1"/>
            </w14:solidFill>
          </w14:textFill>
        </w:rPr>
        <w:t>（</w:t>
      </w:r>
      <w:r>
        <w:rPr>
          <w:rFonts w:hint="eastAsia" w:ascii="宋体" w:hAnsi="宋体" w:eastAsia="宋体" w:cs="宋体"/>
          <w:b/>
          <w:bCs/>
          <w:color w:val="000000" w:themeColor="text1"/>
          <w:sz w:val="24"/>
          <w:szCs w:val="24"/>
          <w:lang w:val="en-US" w:eastAsia="zh-CN"/>
          <w14:textFill>
            <w14:solidFill>
              <w14:schemeClr w14:val="tx1"/>
            </w14:solidFill>
          </w14:textFill>
        </w:rPr>
        <w:t>一</w:t>
      </w:r>
      <w:r>
        <w:rPr>
          <w:rFonts w:hint="eastAsia" w:ascii="宋体" w:hAnsi="宋体" w:eastAsia="宋体" w:cs="宋体"/>
          <w:b/>
          <w:bCs/>
          <w:color w:val="000000" w:themeColor="text1"/>
          <w:sz w:val="24"/>
          <w:szCs w:val="24"/>
          <w:lang w:eastAsia="zh-CN"/>
          <w14:textFill>
            <w14:solidFill>
              <w14:schemeClr w14:val="tx1"/>
            </w14:solidFill>
          </w14:textFill>
        </w:rPr>
        <w:t>）</w:t>
      </w:r>
      <w:r>
        <w:rPr>
          <w:rFonts w:hint="eastAsia" w:ascii="宋体" w:hAnsi="宋体" w:eastAsia="宋体" w:cs="宋体"/>
          <w:b/>
          <w:bCs/>
          <w:color w:val="000000" w:themeColor="text1"/>
          <w:sz w:val="24"/>
          <w:szCs w:val="24"/>
          <w14:textFill>
            <w14:solidFill>
              <w14:schemeClr w14:val="tx1"/>
            </w14:solidFill>
          </w14:textFill>
        </w:rPr>
        <w:t>投标人基本情况表</w:t>
      </w:r>
      <w:bookmarkEnd w:id="592"/>
      <w:bookmarkEnd w:id="593"/>
      <w:bookmarkEnd w:id="594"/>
      <w:bookmarkEnd w:id="595"/>
      <w:bookmarkEnd w:id="596"/>
      <w:bookmarkEnd w:id="597"/>
      <w:bookmarkEnd w:id="598"/>
      <w:bookmarkEnd w:id="599"/>
      <w:bookmarkEnd w:id="600"/>
      <w:bookmarkEnd w:id="601"/>
      <w:bookmarkEnd w:id="602"/>
      <w:bookmarkEnd w:id="603"/>
      <w:bookmarkEnd w:id="604"/>
    </w:p>
    <w:p>
      <w:pPr>
        <w:spacing w:after="120" w:line="360" w:lineRule="auto"/>
        <w:jc w:val="center"/>
        <w:rPr>
          <w:rFonts w:hint="eastAsia" w:ascii="宋体" w:hAnsi="宋体" w:eastAsia="宋体" w:cs="宋体"/>
          <w:b/>
          <w:bCs/>
          <w:color w:val="000000" w:themeColor="text1"/>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投标人基本情况表</w:t>
      </w:r>
    </w:p>
    <w:tbl>
      <w:tblPr>
        <w:tblStyle w:val="48"/>
        <w:tblW w:w="85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1527"/>
        <w:gridCol w:w="1525"/>
        <w:gridCol w:w="643"/>
        <w:gridCol w:w="884"/>
        <w:gridCol w:w="1525"/>
        <w:gridCol w:w="111"/>
        <w:gridCol w:w="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单位名称</w:t>
            </w:r>
          </w:p>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（公章或电子签章或合同章）</w:t>
            </w:r>
          </w:p>
        </w:tc>
        <w:tc>
          <w:tcPr>
            <w:tcW w:w="6999" w:type="dxa"/>
            <w:gridSpan w:val="7"/>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单位地址</w:t>
            </w:r>
          </w:p>
        </w:tc>
        <w:tc>
          <w:tcPr>
            <w:tcW w:w="6999" w:type="dxa"/>
            <w:gridSpan w:val="7"/>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主管部门</w:t>
            </w:r>
          </w:p>
        </w:tc>
        <w:tc>
          <w:tcPr>
            <w:tcW w:w="6999" w:type="dxa"/>
            <w:gridSpan w:val="7"/>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成立时间</w:t>
            </w: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营业执照编号</w:t>
            </w:r>
          </w:p>
          <w:p>
            <w:pP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（事业单位法人证书）</w:t>
            </w:r>
          </w:p>
        </w:tc>
        <w:tc>
          <w:tcPr>
            <w:tcW w:w="88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636"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税务登记证编号</w:t>
            </w:r>
          </w:p>
        </w:tc>
        <w:tc>
          <w:tcPr>
            <w:tcW w:w="784" w:type="dxa"/>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单位性质</w:t>
            </w: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开户银行</w:t>
            </w:r>
          </w:p>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及账号</w:t>
            </w:r>
          </w:p>
        </w:tc>
        <w:tc>
          <w:tcPr>
            <w:tcW w:w="884"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636"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注册资金</w:t>
            </w:r>
          </w:p>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（万元）</w:t>
            </w:r>
          </w:p>
        </w:tc>
        <w:tc>
          <w:tcPr>
            <w:tcW w:w="784" w:type="dxa"/>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资质等级</w:t>
            </w:r>
          </w:p>
        </w:tc>
        <w:tc>
          <w:tcPr>
            <w:tcW w:w="1527" w:type="dxa"/>
          </w:tcPr>
          <w:p>
            <w:pPr>
              <w:rPr>
                <w:rFonts w:hint="eastAsia" w:ascii="宋体" w:hAnsi="宋体" w:eastAsia="宋体" w:cs="宋体"/>
                <w:color w:val="000000" w:themeColor="text1"/>
                <w:szCs w:val="21"/>
                <w14:textFill>
                  <w14:solidFill>
                    <w14:schemeClr w14:val="tx1"/>
                  </w14:solidFill>
                </w14:textFill>
              </w:rPr>
            </w:pP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证号</w:t>
            </w:r>
          </w:p>
        </w:tc>
        <w:tc>
          <w:tcPr>
            <w:tcW w:w="884" w:type="dxa"/>
          </w:tcPr>
          <w:p>
            <w:pPr>
              <w:rPr>
                <w:rFonts w:hint="eastAsia" w:ascii="宋体" w:hAnsi="宋体" w:eastAsia="宋体" w:cs="宋体"/>
                <w:color w:val="000000" w:themeColor="text1"/>
                <w:szCs w:val="21"/>
                <w14:textFill>
                  <w14:solidFill>
                    <w14:schemeClr w14:val="tx1"/>
                  </w14:solidFill>
                </w14:textFill>
              </w:rPr>
            </w:pPr>
          </w:p>
        </w:tc>
        <w:tc>
          <w:tcPr>
            <w:tcW w:w="1636"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发证单位</w:t>
            </w:r>
          </w:p>
        </w:tc>
        <w:tc>
          <w:tcPr>
            <w:tcW w:w="784" w:type="dxa"/>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国际质量体系认证</w:t>
            </w:r>
          </w:p>
        </w:tc>
        <w:tc>
          <w:tcPr>
            <w:tcW w:w="1527" w:type="dxa"/>
          </w:tcPr>
          <w:p>
            <w:pPr>
              <w:rPr>
                <w:rFonts w:hint="eastAsia" w:ascii="宋体" w:hAnsi="宋体" w:eastAsia="宋体" w:cs="宋体"/>
                <w:color w:val="000000" w:themeColor="text1"/>
                <w:szCs w:val="21"/>
                <w14:textFill>
                  <w14:solidFill>
                    <w14:schemeClr w14:val="tx1"/>
                  </w14:solidFill>
                </w14:textFill>
              </w:rPr>
            </w:pP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证号</w:t>
            </w:r>
          </w:p>
        </w:tc>
        <w:tc>
          <w:tcPr>
            <w:tcW w:w="884" w:type="dxa"/>
          </w:tcPr>
          <w:p>
            <w:pPr>
              <w:rPr>
                <w:rFonts w:hint="eastAsia" w:ascii="宋体" w:hAnsi="宋体" w:eastAsia="宋体" w:cs="宋体"/>
                <w:color w:val="000000" w:themeColor="text1"/>
                <w:szCs w:val="21"/>
                <w14:textFill>
                  <w14:solidFill>
                    <w14:schemeClr w14:val="tx1"/>
                  </w14:solidFill>
                </w14:textFill>
              </w:rPr>
            </w:pPr>
          </w:p>
        </w:tc>
        <w:tc>
          <w:tcPr>
            <w:tcW w:w="1636"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发证单位</w:t>
            </w:r>
          </w:p>
        </w:tc>
        <w:tc>
          <w:tcPr>
            <w:tcW w:w="784" w:type="dxa"/>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restart"/>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联系人</w:t>
            </w:r>
          </w:p>
        </w:tc>
        <w:tc>
          <w:tcPr>
            <w:tcW w:w="1527" w:type="dxa"/>
            <w:vMerge w:val="restart"/>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电话</w:t>
            </w:r>
          </w:p>
        </w:tc>
        <w:tc>
          <w:tcPr>
            <w:tcW w:w="3304" w:type="dxa"/>
            <w:gridSpan w:val="4"/>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传真</w:t>
            </w:r>
          </w:p>
        </w:tc>
        <w:tc>
          <w:tcPr>
            <w:tcW w:w="3304" w:type="dxa"/>
            <w:gridSpan w:val="4"/>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restart"/>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职工概况</w:t>
            </w: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职工总数</w:t>
            </w: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409"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其中：技术人员数</w:t>
            </w: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教授级高工</w:t>
            </w: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409"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高工</w:t>
            </w: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工程师</w:t>
            </w:r>
          </w:p>
        </w:tc>
        <w:tc>
          <w:tcPr>
            <w:tcW w:w="2168"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2409"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技工和技术员</w:t>
            </w: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6999" w:type="dxa"/>
            <w:gridSpan w:val="7"/>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单位行政和技术负责人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姓名</w:t>
            </w: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职务及职称</w:t>
            </w:r>
          </w:p>
        </w:tc>
        <w:tc>
          <w:tcPr>
            <w:tcW w:w="1527"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年龄</w:t>
            </w: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专业</w:t>
            </w: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从业年限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9"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525" w:type="dxa"/>
            <w:vMerge w:val="continue"/>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7"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1525" w:type="dxa"/>
            <w:vAlign w:val="center"/>
          </w:tcPr>
          <w:p>
            <w:pPr>
              <w:jc w:val="center"/>
              <w:rPr>
                <w:rFonts w:hint="eastAsia" w:ascii="宋体" w:hAnsi="宋体" w:eastAsia="宋体" w:cs="宋体"/>
                <w:color w:val="000000" w:themeColor="text1"/>
                <w:szCs w:val="21"/>
                <w14:textFill>
                  <w14:solidFill>
                    <w14:schemeClr w14:val="tx1"/>
                  </w14:solidFill>
                </w14:textFill>
              </w:rPr>
            </w:pPr>
          </w:p>
        </w:tc>
        <w:tc>
          <w:tcPr>
            <w:tcW w:w="895" w:type="dxa"/>
            <w:gridSpan w:val="2"/>
            <w:vAlign w:val="center"/>
          </w:tcPr>
          <w:p>
            <w:pPr>
              <w:jc w:val="center"/>
              <w:rPr>
                <w:rFonts w:hint="eastAsia" w:ascii="宋体" w:hAnsi="宋体" w:eastAsia="宋体" w:cs="宋体"/>
                <w:color w:val="000000" w:themeColor="text1"/>
                <w:szCs w:val="21"/>
                <w14:textFill>
                  <w14:solidFill>
                    <w14:schemeClr w14:val="tx1"/>
                  </w14:solidFill>
                </w14:textFill>
              </w:rPr>
            </w:pPr>
          </w:p>
        </w:tc>
      </w:tr>
    </w:tbl>
    <w:p>
      <w:pPr>
        <w:spacing w:line="360" w:lineRule="atLeast"/>
        <w:ind w:left="4055" w:leftChars="1881" w:hanging="105" w:hangingChars="50"/>
        <w:rPr>
          <w:rFonts w:ascii="EYInterstate Light" w:hAnsi="EYInterstate Light"/>
          <w:color w:val="000000" w:themeColor="text1"/>
          <w:szCs w:val="21"/>
          <w14:textFill>
            <w14:solidFill>
              <w14:schemeClr w14:val="tx1"/>
            </w14:solidFill>
          </w14:textFill>
        </w:rPr>
      </w:pPr>
    </w:p>
    <w:p>
      <w:pPr>
        <w:spacing w:line="360" w:lineRule="atLeast"/>
        <w:ind w:firstLine="1680" w:firstLineChars="8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投标人(盖公章或电子签章或合同章)：</w:t>
      </w:r>
    </w:p>
    <w:p>
      <w:pPr>
        <w:spacing w:line="360" w:lineRule="atLeast"/>
        <w:ind w:firstLine="1680" w:firstLineChars="800"/>
        <w:rPr>
          <w:rFonts w:hint="eastAsia" w:ascii="宋体" w:hAnsi="宋体" w:eastAsia="宋体" w:cs="宋体"/>
          <w:color w:val="000000" w:themeColor="text1"/>
          <w:szCs w:val="21"/>
          <w14:textFill>
            <w14:solidFill>
              <w14:schemeClr w14:val="tx1"/>
            </w14:solidFill>
          </w14:textFill>
        </w:rPr>
      </w:pPr>
    </w:p>
    <w:p>
      <w:pPr>
        <w:spacing w:line="360" w:lineRule="atLeas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                日      期：</w:t>
      </w:r>
    </w:p>
    <w:p>
      <w:pPr>
        <w:bidi w:val="0"/>
        <w:rPr>
          <w:rFonts w:hint="eastAsia" w:ascii="EYInterstate Light" w:hAnsi="EYInterstate Light" w:eastAsia="EYInterstate Light" w:cs="Tahoma"/>
          <w:b/>
          <w:bCs/>
          <w:color w:val="000000" w:themeColor="text1"/>
          <w:kern w:val="2"/>
          <w:sz w:val="24"/>
          <w:szCs w:val="24"/>
          <w:lang w:val="zh-CN" w:eastAsia="zh-CN" w:bidi="ar-SA"/>
          <w14:textFill>
            <w14:solidFill>
              <w14:schemeClr w14:val="tx1"/>
            </w14:solidFill>
          </w14:textFill>
        </w:rPr>
      </w:pPr>
    </w:p>
    <w:p>
      <w:pPr>
        <w:bidi w:val="0"/>
        <w:ind w:firstLine="960" w:firstLineChars="400"/>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kern w:val="2"/>
          <w:sz w:val="24"/>
          <w:szCs w:val="24"/>
          <w:lang w:val="zh-CN" w:eastAsia="zh-CN" w:bidi="ar-SA"/>
          <w14:textFill>
            <w14:solidFill>
              <w14:schemeClr w14:val="tx1"/>
            </w14:solidFill>
          </w14:textFill>
        </w:rPr>
        <w:t>（</w:t>
      </w: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二</w:t>
      </w:r>
      <w:r>
        <w:rPr>
          <w:rFonts w:hint="eastAsia" w:ascii="宋体" w:hAnsi="宋体" w:eastAsia="宋体" w:cs="宋体"/>
          <w:b/>
          <w:bCs/>
          <w:color w:val="000000" w:themeColor="text1"/>
          <w:kern w:val="2"/>
          <w:sz w:val="24"/>
          <w:szCs w:val="24"/>
          <w:lang w:val="zh-CN" w:eastAsia="zh-CN" w:bidi="ar-SA"/>
          <w14:textFill>
            <w14:solidFill>
              <w14:schemeClr w14:val="tx1"/>
            </w14:solidFill>
          </w14:textFill>
        </w:rPr>
        <w:t>）</w:t>
      </w:r>
      <w:bookmarkStart w:id="605" w:name="_Toc70626994"/>
      <w:bookmarkStart w:id="606" w:name="_Toc85736451"/>
      <w:bookmarkStart w:id="607" w:name="_Toc46421283"/>
      <w:bookmarkStart w:id="608" w:name="_Toc53245900"/>
      <w:bookmarkStart w:id="609" w:name="_Toc53246091"/>
      <w:bookmarkStart w:id="610" w:name="_Toc85736545"/>
      <w:bookmarkStart w:id="611" w:name="_Toc90407519"/>
      <w:r>
        <w:rPr>
          <w:rFonts w:hint="eastAsia" w:ascii="宋体" w:hAnsi="宋体" w:eastAsia="宋体" w:cs="宋体"/>
          <w:b/>
          <w:bCs/>
          <w:color w:val="000000" w:themeColor="text1"/>
          <w:sz w:val="24"/>
          <w:szCs w:val="24"/>
          <w:lang w:eastAsia="zh-CN"/>
          <w14:textFill>
            <w14:solidFill>
              <w14:schemeClr w14:val="tx1"/>
            </w14:solidFill>
          </w14:textFill>
        </w:rPr>
        <w:t>投标保证金缴款凭证复印件</w:t>
      </w:r>
      <w:bookmarkEnd w:id="605"/>
      <w:bookmarkEnd w:id="606"/>
      <w:bookmarkEnd w:id="607"/>
      <w:bookmarkEnd w:id="608"/>
      <w:bookmarkEnd w:id="609"/>
      <w:bookmarkEnd w:id="610"/>
      <w:bookmarkEnd w:id="611"/>
    </w:p>
    <w:p>
      <w:pPr>
        <w:snapToGrid w:val="0"/>
        <w:spacing w:line="360" w:lineRule="auto"/>
        <w:jc w:val="center"/>
        <w:rPr>
          <w:rFonts w:hint="eastAsia" w:ascii="微软雅黑" w:hAnsi="微软雅黑" w:eastAsia="微软雅黑" w:cs="微软雅黑"/>
          <w:color w:val="000000" w:themeColor="text1"/>
          <w14:textFill>
            <w14:solidFill>
              <w14:schemeClr w14:val="tx1"/>
            </w14:solidFill>
          </w14:textFill>
        </w:rPr>
      </w:pPr>
      <w:r>
        <w:rPr>
          <w:rFonts w:hint="eastAsia" w:ascii="微软雅黑" w:hAnsi="微软雅黑" w:eastAsia="微软雅黑" w:cs="微软雅黑"/>
          <w:b/>
          <w:color w:val="000000" w:themeColor="text1"/>
          <w:sz w:val="32"/>
          <w14:textFill>
            <w14:solidFill>
              <w14:schemeClr w14:val="tx1"/>
            </w14:solidFill>
          </w14:textFill>
        </w:rPr>
        <w:t>投标保证金交纳凭证复印件</w:t>
      </w:r>
    </w:p>
    <w:tbl>
      <w:tblPr>
        <w:tblStyle w:val="48"/>
        <w:tblW w:w="8585" w:type="dxa"/>
        <w:jc w:val="center"/>
        <w:tblLayout w:type="fixed"/>
        <w:tblCellMar>
          <w:top w:w="0" w:type="dxa"/>
          <w:left w:w="0" w:type="dxa"/>
          <w:bottom w:w="0" w:type="dxa"/>
          <w:right w:w="0" w:type="dxa"/>
        </w:tblCellMar>
      </w:tblPr>
      <w:tblGrid>
        <w:gridCol w:w="8585"/>
      </w:tblGrid>
      <w:tr>
        <w:tblPrEx>
          <w:tblCellMar>
            <w:top w:w="0" w:type="dxa"/>
            <w:left w:w="0" w:type="dxa"/>
            <w:bottom w:w="0" w:type="dxa"/>
            <w:right w:w="0" w:type="dxa"/>
          </w:tblCellMar>
        </w:tblPrEx>
        <w:trPr>
          <w:trHeight w:val="4189" w:hRule="atLeast"/>
          <w:jc w:val="center"/>
        </w:trPr>
        <w:tc>
          <w:tcPr>
            <w:tcW w:w="858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tcPr>
          <w:p>
            <w:pPr>
              <w:widowControl/>
              <w:autoSpaceDE w:val="0"/>
              <w:autoSpaceDN w:val="0"/>
              <w:snapToGrid w:val="0"/>
              <w:spacing w:line="360" w:lineRule="auto"/>
              <w:jc w:val="center"/>
              <w:rPr>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投标保证金交纳凭证复印件粘贴处</w:t>
            </w:r>
          </w:p>
        </w:tc>
      </w:tr>
    </w:tbl>
    <w:p>
      <w:pPr>
        <w:widowControl/>
        <w:autoSpaceDE w:val="0"/>
        <w:autoSpaceDN w:val="0"/>
        <w:snapToGrid w:val="0"/>
        <w:spacing w:line="360" w:lineRule="auto"/>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为了招标结束后尽快退还贵公司投标保证金，请在投标文件中提供贵公司投标保证金退还的相关信息</w:t>
      </w:r>
    </w:p>
    <w:tbl>
      <w:tblPr>
        <w:tblStyle w:val="48"/>
        <w:tblW w:w="8607" w:type="dxa"/>
        <w:tblInd w:w="0" w:type="dxa"/>
        <w:tblLayout w:type="fixed"/>
        <w:tblCellMar>
          <w:top w:w="0" w:type="dxa"/>
          <w:left w:w="108" w:type="dxa"/>
          <w:bottom w:w="0" w:type="dxa"/>
          <w:right w:w="108" w:type="dxa"/>
        </w:tblCellMar>
      </w:tblPr>
      <w:tblGrid>
        <w:gridCol w:w="3348"/>
        <w:gridCol w:w="5259"/>
      </w:tblGrid>
      <w:tr>
        <w:tblPrEx>
          <w:tblCellMar>
            <w:top w:w="0" w:type="dxa"/>
            <w:left w:w="108" w:type="dxa"/>
            <w:bottom w:w="0" w:type="dxa"/>
            <w:right w:w="108" w:type="dxa"/>
          </w:tblCellMar>
        </w:tblPrEx>
        <w:trPr>
          <w:trHeight w:val="527"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项目编号</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762"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项目名称</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亿利达</w:t>
            </w:r>
            <w:r>
              <w:rPr>
                <w:rFonts w:hint="eastAsia" w:ascii="宋体" w:hAnsi="宋体" w:eastAsia="宋体" w:cs="宋体"/>
                <w:b w:val="0"/>
                <w:bCs w:val="0"/>
                <w:color w:val="000000" w:themeColor="text1"/>
                <w:sz w:val="18"/>
                <w:szCs w:val="1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18"/>
                <w:szCs w:val="18"/>
                <w14:textFill>
                  <w14:solidFill>
                    <w14:schemeClr w14:val="tx1"/>
                  </w14:solidFill>
                </w14:textFill>
              </w:rPr>
              <w:t>项目</w:t>
            </w:r>
          </w:p>
        </w:tc>
      </w:tr>
      <w:tr>
        <w:tblPrEx>
          <w:tblCellMar>
            <w:top w:w="0" w:type="dxa"/>
            <w:left w:w="108" w:type="dxa"/>
            <w:bottom w:w="0" w:type="dxa"/>
            <w:right w:w="108" w:type="dxa"/>
          </w:tblCellMar>
        </w:tblPrEx>
        <w:trPr>
          <w:trHeight w:val="527"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已缴纳的投标保证金金额</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人民币：</w:t>
            </w:r>
          </w:p>
        </w:tc>
      </w:tr>
      <w:tr>
        <w:tblPrEx>
          <w:tblCellMar>
            <w:top w:w="0" w:type="dxa"/>
            <w:left w:w="108" w:type="dxa"/>
            <w:bottom w:w="0" w:type="dxa"/>
            <w:right w:w="108" w:type="dxa"/>
          </w:tblCellMar>
        </w:tblPrEx>
        <w:trPr>
          <w:trHeight w:val="527"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投标保证金退还银行账号</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按照开票信息</w:t>
            </w:r>
          </w:p>
        </w:tc>
      </w:tr>
      <w:tr>
        <w:tblPrEx>
          <w:tblCellMar>
            <w:top w:w="0" w:type="dxa"/>
            <w:left w:w="108" w:type="dxa"/>
            <w:bottom w:w="0" w:type="dxa"/>
            <w:right w:w="108" w:type="dxa"/>
          </w:tblCellMar>
        </w:tblPrEx>
        <w:trPr>
          <w:trHeight w:val="926"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若中标，中标服务费发票类型</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 ）增值税普通发票</w:t>
            </w:r>
            <w:r>
              <w:rPr>
                <w:rFonts w:hint="eastAsia" w:ascii="宋体" w:hAnsi="宋体" w:eastAsia="宋体" w:cs="宋体"/>
                <w:b w:val="0"/>
                <w:bCs w:val="0"/>
                <w:color w:val="000000" w:themeColor="text1"/>
                <w:sz w:val="18"/>
                <w:szCs w:val="1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18"/>
                <w:szCs w:val="18"/>
                <w14:textFill>
                  <w14:solidFill>
                    <w14:schemeClr w14:val="tx1"/>
                  </w14:solidFill>
                </w14:textFill>
              </w:rPr>
              <w:t>（ ）增值税专用发票</w:t>
            </w:r>
          </w:p>
        </w:tc>
      </w:tr>
      <w:tr>
        <w:tblPrEx>
          <w:tblCellMar>
            <w:top w:w="0" w:type="dxa"/>
            <w:left w:w="108" w:type="dxa"/>
            <w:bottom w:w="0" w:type="dxa"/>
            <w:right w:w="108" w:type="dxa"/>
          </w:tblCellMar>
        </w:tblPrEx>
        <w:trPr>
          <w:trHeight w:val="1858"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开票信息</w:t>
            </w:r>
          </w:p>
          <w:p>
            <w:pPr>
              <w:autoSpaceDE w:val="0"/>
              <w:autoSpaceDN w:val="0"/>
              <w:adjustRightInd w:val="0"/>
              <w:spacing w:line="312" w:lineRule="auto"/>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（普通发票只需要提供纳税识别号，专用发票需要财务确认过的开票信息）</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纳税识别号：</w:t>
            </w:r>
          </w:p>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（税务部门备案的）地址：</w:t>
            </w:r>
          </w:p>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（税务部门备案的）电话：</w:t>
            </w:r>
          </w:p>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开户行：</w:t>
            </w:r>
          </w:p>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银行账号：</w:t>
            </w:r>
          </w:p>
        </w:tc>
      </w:tr>
      <w:tr>
        <w:tblPrEx>
          <w:tblCellMar>
            <w:top w:w="0" w:type="dxa"/>
            <w:left w:w="108" w:type="dxa"/>
            <w:bottom w:w="0" w:type="dxa"/>
            <w:right w:w="108" w:type="dxa"/>
          </w:tblCellMar>
        </w:tblPrEx>
        <w:trPr>
          <w:trHeight w:val="543" w:hRule="atLeast"/>
        </w:trPr>
        <w:tc>
          <w:tcPr>
            <w:tcW w:w="33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若中标，服务费发票快递接收地址、联系人、电话</w:t>
            </w:r>
          </w:p>
        </w:tc>
        <w:tc>
          <w:tcPr>
            <w:tcW w:w="5259" w:type="dxa"/>
            <w:tcBorders>
              <w:top w:val="single" w:color="auto" w:sz="4" w:space="0"/>
              <w:left w:val="nil"/>
              <w:bottom w:val="single" w:color="auto" w:sz="4" w:space="0"/>
              <w:right w:val="single" w:color="auto" w:sz="4" w:space="0"/>
            </w:tcBorders>
            <w:vAlign w:val="center"/>
          </w:tcPr>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地址：</w:t>
            </w:r>
          </w:p>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收件人：</w:t>
            </w:r>
          </w:p>
          <w:p>
            <w:pPr>
              <w:autoSpaceDE w:val="0"/>
              <w:autoSpaceDN w:val="0"/>
              <w:adjustRightInd w:val="0"/>
              <w:spacing w:line="312" w:lineRule="auto"/>
              <w:rPr>
                <w:rFonts w:hint="eastAsia" w:ascii="宋体" w:hAnsi="宋体" w:eastAsia="宋体" w:cs="宋体"/>
                <w:b w:val="0"/>
                <w:bCs w:val="0"/>
                <w:color w:val="000000" w:themeColor="text1"/>
                <w:sz w:val="18"/>
                <w:szCs w:val="18"/>
                <w14:textFill>
                  <w14:solidFill>
                    <w14:schemeClr w14:val="tx1"/>
                  </w14:solidFill>
                </w14:textFill>
              </w:rPr>
            </w:pPr>
            <w:r>
              <w:rPr>
                <w:rFonts w:hint="eastAsia" w:ascii="宋体" w:hAnsi="宋体" w:eastAsia="宋体" w:cs="宋体"/>
                <w:b w:val="0"/>
                <w:bCs w:val="0"/>
                <w:color w:val="000000" w:themeColor="text1"/>
                <w:sz w:val="18"/>
                <w:szCs w:val="18"/>
                <w14:textFill>
                  <w14:solidFill>
                    <w14:schemeClr w14:val="tx1"/>
                  </w14:solidFill>
                </w14:textFill>
              </w:rPr>
              <w:t>电话：</w:t>
            </w:r>
          </w:p>
        </w:tc>
      </w:tr>
    </w:tbl>
    <w:p>
      <w:pPr>
        <w:bidi w:val="0"/>
        <w:rPr>
          <w:rFonts w:hint="eastAsia" w:ascii="宋体" w:hAnsi="宋体" w:eastAsia="宋体" w:cs="宋体"/>
          <w:b/>
          <w:bCs/>
          <w:color w:val="000000" w:themeColor="text1"/>
          <w:kern w:val="2"/>
          <w:sz w:val="24"/>
          <w:szCs w:val="24"/>
          <w:lang w:val="en-US" w:eastAsia="zh-CN" w:bidi="ar-SA"/>
          <w14:textFill>
            <w14:solidFill>
              <w14:schemeClr w14:val="tx1"/>
            </w14:solidFill>
          </w14:textFill>
        </w:rPr>
        <w:sectPr>
          <w:type w:val="continuous"/>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bookmarkStart w:id="612" w:name="_Toc46421284"/>
      <w:bookmarkStart w:id="613" w:name="_Toc53245901"/>
      <w:bookmarkStart w:id="614" w:name="_Toc70626995"/>
      <w:bookmarkStart w:id="615" w:name="_Toc53246092"/>
    </w:p>
    <w:p>
      <w:pPr>
        <w:bidi w:val="0"/>
        <w:ind w:firstLine="480" w:firstLineChars="200"/>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（三）企业荣誉</w:t>
      </w:r>
    </w:p>
    <w:p>
      <w:pPr>
        <w:autoSpaceDE w:val="0"/>
        <w:autoSpaceDN w:val="0"/>
        <w:bidi w:val="0"/>
        <w:adjustRightInd w:val="0"/>
        <w:spacing w:line="312" w:lineRule="auto"/>
        <w:rPr>
          <w:rFonts w:hint="default" w:ascii="宋体" w:hAnsi="宋体" w:eastAsia="宋体" w:cs="宋体"/>
          <w:b w:val="0"/>
          <w:bCs w:val="0"/>
          <w:color w:val="000000" w:themeColor="text1"/>
          <w:kern w:val="2"/>
          <w:sz w:val="21"/>
          <w:szCs w:val="21"/>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1"/>
          <w:szCs w:val="21"/>
          <w:lang w:val="en-US" w:eastAsia="zh-CN" w:bidi="ar-SA"/>
          <w14:textFill>
            <w14:solidFill>
              <w14:schemeClr w14:val="tx1"/>
            </w14:solidFill>
          </w14:textFill>
        </w:rPr>
        <w:t>提供荣誉证书复印件</w:t>
      </w:r>
    </w:p>
    <w:p>
      <w:pPr>
        <w:bidi w:val="0"/>
        <w:rPr>
          <w:rFonts w:hint="eastAsia" w:ascii="宋体" w:hAnsi="宋体" w:eastAsia="宋体" w:cs="宋体"/>
          <w:b/>
          <w:bCs/>
          <w:color w:val="000000" w:themeColor="text1"/>
          <w:kern w:val="2"/>
          <w:sz w:val="24"/>
          <w:szCs w:val="24"/>
          <w:lang w:val="en-US" w:eastAsia="zh-CN" w:bidi="ar-SA"/>
          <w14:textFill>
            <w14:solidFill>
              <w14:schemeClr w14:val="tx1"/>
            </w14:solidFill>
          </w14:textFill>
        </w:rPr>
        <w:sectPr>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bidi w:val="0"/>
        <w:ind w:firstLine="480" w:firstLineChars="200"/>
        <w:rPr>
          <w:rFonts w:hint="eastAsia" w:ascii="宋体" w:hAnsi="宋体" w:eastAsia="宋体" w:cs="宋体"/>
          <w:b/>
          <w:bCs/>
          <w:color w:val="000000" w:themeColor="text1"/>
          <w:kern w:val="2"/>
          <w:sz w:val="24"/>
          <w:szCs w:val="24"/>
          <w:lang w:val="en-US" w:eastAsia="zh-CN" w:bidi="ar-SA"/>
          <w14:textFill>
            <w14:solidFill>
              <w14:schemeClr w14:val="tx1"/>
            </w14:solidFill>
          </w14:textFill>
        </w:rPr>
        <w:sectPr>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(四)投标人认为可以证明其能力或业绩的其他材料</w:t>
      </w:r>
    </w:p>
    <w:p>
      <w:pPr>
        <w:bidi w:val="0"/>
        <w:ind w:firstLine="480" w:firstLineChars="200"/>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（五）法定代表人身份证明及授权书</w:t>
      </w:r>
    </w:p>
    <w:p>
      <w:pPr>
        <w:numPr>
          <w:ilvl w:val="0"/>
          <w:numId w:val="0"/>
        </w:numPr>
        <w:ind w:left="0" w:leftChars="0" w:firstLine="420" w:firstLineChars="0"/>
        <w:rPr>
          <w:rFonts w:hint="eastAsia" w:ascii="宋体" w:hAnsi="宋体" w:eastAsia="宋体" w:cs="宋体"/>
          <w:color w:val="000000" w:themeColor="text1"/>
          <w:kern w:val="2"/>
          <w:sz w:val="21"/>
          <w:szCs w:val="24"/>
          <w:lang w:val="en-US" w:eastAsia="zh-CN" w:bidi="ar-SA"/>
          <w14:textFill>
            <w14:solidFill>
              <w14:schemeClr w14:val="tx1"/>
            </w14:solidFill>
          </w14:textFill>
        </w:rPr>
      </w:pPr>
    </w:p>
    <w:p>
      <w:pPr>
        <w:pageBreakBefore w:val="0"/>
        <w:widowControl w:val="0"/>
        <w:numPr>
          <w:ilvl w:val="0"/>
          <w:numId w:val="62"/>
        </w:numPr>
        <w:kinsoku/>
        <w:wordWrap/>
        <w:overflowPunct/>
        <w:topLinePunct w:val="0"/>
        <w:autoSpaceDE/>
        <w:autoSpaceDN/>
        <w:bidi w:val="0"/>
        <w:ind w:left="0" w:leftChars="0" w:firstLine="420" w:firstLineChars="200"/>
        <w:textAlignment w:val="auto"/>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法定代表人身份证明</w:t>
      </w:r>
      <w:bookmarkEnd w:id="612"/>
      <w:bookmarkEnd w:id="613"/>
      <w:bookmarkEnd w:id="614"/>
      <w:bookmarkEnd w:id="615"/>
    </w:p>
    <w:p>
      <w:pPr>
        <w:pStyle w:val="8"/>
        <w:spacing w:line="360" w:lineRule="auto"/>
        <w:ind w:firstLineChars="20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投标人名称：______________________________.</w:t>
      </w:r>
    </w:p>
    <w:p>
      <w:pPr>
        <w:pStyle w:val="8"/>
        <w:spacing w:line="360" w:lineRule="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单位性质：_________________________________.</w:t>
      </w:r>
    </w:p>
    <w:p>
      <w:pPr>
        <w:pStyle w:val="8"/>
        <w:spacing w:line="360" w:lineRule="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地址：_____________________________________.</w:t>
      </w:r>
    </w:p>
    <w:p>
      <w:pPr>
        <w:pStyle w:val="8"/>
        <w:spacing w:line="360" w:lineRule="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成立时间：_________________________________.</w:t>
      </w:r>
    </w:p>
    <w:p>
      <w:pPr>
        <w:pStyle w:val="8"/>
        <w:spacing w:line="360" w:lineRule="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经营期限：_________________________________.</w:t>
      </w:r>
    </w:p>
    <w:p>
      <w:pPr>
        <w:pStyle w:val="8"/>
        <w:spacing w:line="360" w:lineRule="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姓名：_______性别：______年龄：_____职务：______</w:t>
      </w:r>
    </w:p>
    <w:p>
      <w:pPr>
        <w:pStyle w:val="8"/>
        <w:spacing w:line="360" w:lineRule="auto"/>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系_____________________（投标人名称）的法定代表人。</w:t>
      </w:r>
    </w:p>
    <w:p>
      <w:pPr>
        <w:pStyle w:val="8"/>
        <w:spacing w:line="360" w:lineRule="auto"/>
        <w:ind w:firstLine="367" w:firstLineChars="175"/>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特此证明</w:t>
      </w:r>
    </w:p>
    <w:p>
      <w:pPr>
        <w:pStyle w:val="8"/>
        <w:spacing w:line="360" w:lineRule="auto"/>
        <w:ind w:firstLine="3990" w:firstLineChars="190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投标人：（盖公章或电子签章或合同章）</w:t>
      </w:r>
    </w:p>
    <w:p>
      <w:pPr>
        <w:pStyle w:val="8"/>
        <w:spacing w:line="360" w:lineRule="auto"/>
        <w:ind w:firstLine="4095" w:firstLineChars="1950"/>
        <w:rPr>
          <w:rFonts w:hint="eastAsia" w:ascii="宋体" w:hAnsi="宋体" w:eastAsia="宋体" w:cs="宋体"/>
          <w:bCs/>
          <w:color w:val="000000" w:themeColor="text1"/>
          <w:sz w:val="21"/>
          <w:szCs w:val="21"/>
          <w14:textFill>
            <w14:solidFill>
              <w14:schemeClr w14:val="tx1"/>
            </w14:solidFill>
          </w14:textFill>
        </w:rPr>
      </w:pPr>
      <w:r>
        <w:rPr>
          <w:rFonts w:hint="eastAsia" w:ascii="宋体" w:hAnsi="宋体" w:eastAsia="宋体" w:cs="宋体"/>
          <w:bCs/>
          <w:color w:val="000000" w:themeColor="text1"/>
          <w:sz w:val="21"/>
          <w:szCs w:val="21"/>
          <w14:textFill>
            <w14:solidFill>
              <w14:schemeClr w14:val="tx1"/>
            </w14:solidFill>
          </w14:textFill>
        </w:rPr>
        <w:t>_________年_________月_______日</w:t>
      </w:r>
    </w:p>
    <w:p>
      <w:pPr>
        <w:pStyle w:val="8"/>
        <w:spacing w:line="360" w:lineRule="auto"/>
        <w:ind w:firstLine="4095" w:firstLineChars="1950"/>
        <w:rPr>
          <w:rFonts w:ascii="EYInterstate Light" w:hAnsi="EYInterstate Light" w:eastAsia="EYInterstate Light"/>
          <w:bCs/>
          <w:color w:val="000000" w:themeColor="text1"/>
          <w:sz w:val="21"/>
          <w:szCs w:val="21"/>
          <w14:textFill>
            <w14:solidFill>
              <w14:schemeClr w14:val="tx1"/>
            </w14:solidFill>
          </w14:textFill>
        </w:rPr>
      </w:pPr>
    </w:p>
    <w:tbl>
      <w:tblPr>
        <w:tblStyle w:val="48"/>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0" w:hRule="atLeast"/>
        </w:trPr>
        <w:tc>
          <w:tcPr>
            <w:tcW w:w="8720" w:type="dxa"/>
          </w:tcPr>
          <w:p>
            <w:pPr>
              <w:pStyle w:val="8"/>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8"/>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8"/>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8"/>
              <w:spacing w:line="360" w:lineRule="auto"/>
              <w:ind w:firstLine="0"/>
              <w:jc w:val="center"/>
              <w:rPr>
                <w:rFonts w:hint="eastAsia" w:ascii="宋体" w:hAnsi="宋体" w:eastAsia="宋体" w:cs="宋体"/>
                <w:bCs/>
                <w:color w:val="000000" w:themeColor="text1"/>
                <w:sz w:val="24"/>
                <w:szCs w:val="24"/>
                <w14:textFill>
                  <w14:solidFill>
                    <w14:schemeClr w14:val="tx1"/>
                  </w14:solidFill>
                </w14:textFill>
              </w:rPr>
            </w:pPr>
            <w:r>
              <w:rPr>
                <w:rFonts w:hint="eastAsia" w:ascii="宋体" w:hAnsi="宋体" w:eastAsia="宋体" w:cs="宋体"/>
                <w:bCs/>
                <w:color w:val="000000" w:themeColor="text1"/>
                <w:sz w:val="24"/>
                <w:szCs w:val="24"/>
                <w14:textFill>
                  <w14:solidFill>
                    <w14:schemeClr w14:val="tx1"/>
                  </w14:solidFill>
                </w14:textFill>
              </w:rPr>
              <w:t>法定代表人有效、清晰身份证复印件或扫描件</w:t>
            </w:r>
          </w:p>
          <w:p>
            <w:pPr>
              <w:pStyle w:val="8"/>
              <w:spacing w:line="360" w:lineRule="auto"/>
              <w:ind w:firstLine="0"/>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粘贴或扫描处</w:t>
            </w:r>
          </w:p>
          <w:p>
            <w:pPr>
              <w:pStyle w:val="8"/>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8"/>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8"/>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tc>
      </w:tr>
    </w:tbl>
    <w:p>
      <w:pPr>
        <w:pStyle w:val="8"/>
        <w:spacing w:line="360" w:lineRule="auto"/>
        <w:ind w:firstLine="4680" w:firstLineChars="1950"/>
        <w:rPr>
          <w:rFonts w:ascii="EYInterstate Light" w:hAnsi="EYInterstate Light" w:eastAsia="EYInterstate Light"/>
          <w:bCs/>
          <w:color w:val="000000" w:themeColor="text1"/>
          <w:sz w:val="24"/>
          <w:szCs w:val="24"/>
          <w14:textFill>
            <w14:solidFill>
              <w14:schemeClr w14:val="tx1"/>
            </w14:solidFill>
          </w14:textFill>
        </w:rPr>
      </w:pPr>
    </w:p>
    <w:p>
      <w:pPr>
        <w:pStyle w:val="8"/>
        <w:spacing w:line="360" w:lineRule="auto"/>
        <w:ind w:firstLine="4680" w:firstLineChars="1950"/>
        <w:rPr>
          <w:rFonts w:ascii="EYInterstate Light" w:hAnsi="EYInterstate Light" w:eastAsia="EYInterstate Light"/>
          <w:bCs/>
          <w:color w:val="000000" w:themeColor="text1"/>
          <w:sz w:val="24"/>
          <w:szCs w:val="24"/>
          <w14:textFill>
            <w14:solidFill>
              <w14:schemeClr w14:val="tx1"/>
            </w14:solidFill>
          </w14:textFill>
        </w:rPr>
      </w:pPr>
    </w:p>
    <w:p>
      <w:pPr>
        <w:rPr>
          <w:rFonts w:hint="eastAsia" w:ascii="宋体" w:hAnsi="宋体" w:eastAsia="宋体" w:cs="宋体"/>
          <w:color w:val="000000" w:themeColor="text1"/>
          <w14:textFill>
            <w14:solidFill>
              <w14:schemeClr w14:val="tx1"/>
            </w14:solidFill>
          </w14:textFill>
        </w:rPr>
      </w:pPr>
    </w:p>
    <w:p>
      <w:pPr>
        <w:numPr>
          <w:ilvl w:val="-1"/>
          <w:numId w:val="0"/>
        </w:numPr>
        <w:bidi w:val="0"/>
        <w:ind w:left="0" w:firstLine="420" w:firstLineChars="200"/>
        <w:rPr>
          <w:rFonts w:hint="eastAsia" w:ascii="宋体" w:hAnsi="宋体" w:eastAsia="宋体" w:cs="宋体"/>
        </w:rPr>
      </w:pPr>
      <w:bookmarkStart w:id="616" w:name="_Toc85736454"/>
      <w:bookmarkStart w:id="617" w:name="_Toc368993663"/>
      <w:bookmarkStart w:id="618" w:name="_Toc53246093"/>
      <w:bookmarkStart w:id="619" w:name="_Toc227057972"/>
      <w:bookmarkStart w:id="620" w:name="_Toc90407522"/>
      <w:bookmarkStart w:id="621" w:name="_Toc371002595"/>
      <w:bookmarkStart w:id="622" w:name="_Toc70626996"/>
      <w:bookmarkStart w:id="623" w:name="_Toc534142832"/>
      <w:bookmarkStart w:id="624" w:name="_Toc46421285"/>
      <w:bookmarkStart w:id="625" w:name="_Toc85736548"/>
      <w:bookmarkStart w:id="626" w:name="_Toc226969366"/>
      <w:bookmarkStart w:id="627" w:name="_Toc53245902"/>
      <w:r>
        <w:rPr>
          <w:rFonts w:hint="eastAsia" w:ascii="宋体" w:hAnsi="宋体" w:eastAsia="宋体" w:cs="宋体"/>
          <w:lang w:val="en-US" w:eastAsia="zh-CN"/>
        </w:rPr>
        <w:t>2.</w:t>
      </w:r>
      <w:r>
        <w:rPr>
          <w:rFonts w:hint="eastAsia" w:ascii="宋体" w:hAnsi="宋体" w:eastAsia="宋体" w:cs="宋体"/>
        </w:rPr>
        <w:t>法定代表人授权书</w:t>
      </w:r>
      <w:bookmarkEnd w:id="616"/>
      <w:bookmarkEnd w:id="617"/>
      <w:bookmarkEnd w:id="618"/>
      <w:bookmarkEnd w:id="619"/>
      <w:bookmarkEnd w:id="620"/>
      <w:bookmarkEnd w:id="621"/>
      <w:bookmarkEnd w:id="622"/>
      <w:bookmarkEnd w:id="623"/>
      <w:bookmarkEnd w:id="624"/>
      <w:bookmarkEnd w:id="625"/>
      <w:bookmarkEnd w:id="626"/>
      <w:bookmarkEnd w:id="627"/>
    </w:p>
    <w:p>
      <w:pPr>
        <w:pStyle w:val="8"/>
        <w:spacing w:line="240" w:lineRule="auto"/>
        <w:rPr>
          <w:rFonts w:hint="eastAsia" w:ascii="宋体" w:hAnsi="宋体" w:eastAsia="宋体" w:cs="宋体"/>
          <w:color w:val="000000" w:themeColor="text1"/>
          <w:sz w:val="24"/>
          <w:szCs w:val="24"/>
          <w14:textFill>
            <w14:solidFill>
              <w14:schemeClr w14:val="tx1"/>
            </w14:solidFill>
          </w14:textFill>
        </w:rPr>
      </w:pPr>
    </w:p>
    <w:p>
      <w:pPr>
        <w:jc w:val="center"/>
        <w:rPr>
          <w:rFonts w:hint="eastAsia"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法定代表人授权委托书</w:t>
      </w:r>
    </w:p>
    <w:p>
      <w:pPr>
        <w:jc w:val="center"/>
        <w:rPr>
          <w:rFonts w:hint="eastAsia" w:ascii="宋体" w:hAnsi="宋体" w:eastAsia="宋体" w:cs="宋体"/>
          <w:b/>
          <w:bCs/>
          <w:color w:val="000000" w:themeColor="text1"/>
          <w:sz w:val="24"/>
          <w14:textFill>
            <w14:solidFill>
              <w14:schemeClr w14:val="tx1"/>
            </w14:solidFill>
          </w14:textFill>
        </w:rPr>
      </w:pPr>
    </w:p>
    <w:p>
      <w:pPr>
        <w:spacing w:line="360" w:lineRule="auto"/>
        <w:rPr>
          <w:rFonts w:hint="eastAsia" w:ascii="宋体" w:hAnsi="宋体" w:eastAsia="宋体" w:cs="宋体"/>
          <w:b/>
          <w:bCs/>
          <w:color w:val="000000" w:themeColor="text1"/>
          <w:sz w:val="24"/>
          <w:u w:val="single"/>
          <w14:textFill>
            <w14:solidFill>
              <w14:schemeClr w14:val="tx1"/>
            </w14:solidFill>
          </w14:textFill>
        </w:rPr>
      </w:pPr>
      <w:r>
        <w:rPr>
          <w:rFonts w:hint="eastAsia" w:ascii="宋体" w:hAnsi="宋体" w:eastAsia="宋体" w:cs="宋体"/>
          <w:b/>
          <w:bCs/>
          <w:color w:val="000000" w:themeColor="text1"/>
          <w:kern w:val="11"/>
          <w:sz w:val="24"/>
          <w:u w:val="single"/>
          <w14:textFill>
            <w14:solidFill>
              <w14:schemeClr w14:val="tx1"/>
            </w14:solidFill>
          </w14:textFill>
        </w:rPr>
        <w:t>（招标人）</w:t>
      </w:r>
      <w:r>
        <w:rPr>
          <w:rFonts w:hint="eastAsia" w:ascii="宋体" w:hAnsi="宋体" w:eastAsia="宋体" w:cs="宋体"/>
          <w:b/>
          <w:bCs/>
          <w:color w:val="000000" w:themeColor="text1"/>
          <w:sz w:val="24"/>
          <w:u w:val="single"/>
          <w14:textFill>
            <w14:solidFill>
              <w14:schemeClr w14:val="tx1"/>
            </w14:solidFill>
          </w14:textFill>
        </w:rPr>
        <w:t>：</w:t>
      </w:r>
    </w:p>
    <w:p>
      <w:pPr>
        <w:spacing w:line="360" w:lineRule="auto"/>
        <w:ind w:firstLine="420" w:firstLineChars="2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u w:val="single"/>
          <w14:textFill>
            <w14:solidFill>
              <w14:schemeClr w14:val="tx1"/>
            </w14:solidFill>
          </w14:textFill>
        </w:rPr>
        <w:t>（投标人名称）</w:t>
      </w:r>
      <w:r>
        <w:rPr>
          <w:rFonts w:hint="eastAsia" w:ascii="宋体" w:hAnsi="宋体" w:eastAsia="宋体" w:cs="宋体"/>
          <w:color w:val="000000" w:themeColor="text1"/>
          <w:szCs w:val="21"/>
          <w14:textFill>
            <w14:solidFill>
              <w14:schemeClr w14:val="tx1"/>
            </w14:solidFill>
          </w14:textFill>
        </w:rPr>
        <w:t>法定代表人</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授权我单位</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u w:val="single"/>
          <w14:textFill>
            <w14:solidFill>
              <w14:schemeClr w14:val="tx1"/>
            </w14:solidFill>
          </w14:textFill>
        </w:rPr>
        <w:t>（职务或职称）</w:t>
      </w:r>
      <w:r>
        <w:rPr>
          <w:rFonts w:hint="eastAsia" w:ascii="宋体" w:hAnsi="宋体" w:eastAsia="宋体" w:cs="宋体"/>
          <w:color w:val="000000" w:themeColor="text1"/>
          <w:szCs w:val="21"/>
          <w14:textFill>
            <w14:solidFill>
              <w14:schemeClr w14:val="tx1"/>
            </w14:solidFill>
          </w14:textFill>
        </w:rPr>
        <w:t xml:space="preserve"> </w:t>
      </w:r>
      <w:r>
        <w:rPr>
          <w:rFonts w:hint="eastAsia" w:ascii="宋体" w:hAnsi="宋体" w:eastAsia="宋体" w:cs="宋体"/>
          <w:color w:val="000000" w:themeColor="text1"/>
          <w:szCs w:val="21"/>
          <w:u w:val="single"/>
          <w:lang w:val="en-US" w:eastAsia="zh-CN"/>
          <w14:textFill>
            <w14:solidFill>
              <w14:schemeClr w14:val="tx1"/>
            </w14:solidFill>
          </w14:textFill>
        </w:rPr>
        <w:t xml:space="preserve">       </w:t>
      </w:r>
      <w:r>
        <w:rPr>
          <w:rFonts w:hint="eastAsia" w:ascii="宋体" w:hAnsi="宋体" w:eastAsia="宋体" w:cs="宋体"/>
          <w:color w:val="000000" w:themeColor="text1"/>
          <w:szCs w:val="21"/>
          <w:u w:val="single"/>
          <w14:textFill>
            <w14:solidFill>
              <w14:schemeClr w14:val="tx1"/>
            </w14:solidFill>
          </w14:textFill>
        </w:rPr>
        <w:t>（姓名）</w:t>
      </w:r>
      <w:r>
        <w:rPr>
          <w:rFonts w:hint="eastAsia" w:ascii="宋体" w:hAnsi="宋体" w:eastAsia="宋体" w:cs="宋体"/>
          <w:color w:val="000000" w:themeColor="text1"/>
          <w:szCs w:val="21"/>
          <w14:textFill>
            <w14:solidFill>
              <w14:schemeClr w14:val="tx1"/>
            </w14:solidFill>
          </w14:textFill>
        </w:rPr>
        <w:t>为我单位本次投标授权代理人，全权处理</w:t>
      </w:r>
      <w:r>
        <w:rPr>
          <w:rFonts w:hint="eastAsia" w:ascii="宋体" w:hAnsi="宋体" w:eastAsia="宋体" w:cs="宋体"/>
          <w:color w:val="000000" w:themeColor="text1"/>
          <w:szCs w:val="21"/>
          <w:u w:val="single"/>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招标项目投标活动的一切事宜。该授权代理人作出的所有承诺说明，我单位均予于认可并承担全部责任。</w:t>
      </w:r>
    </w:p>
    <w:p>
      <w:pPr>
        <w:spacing w:line="360" w:lineRule="auto"/>
        <w:ind w:firstLine="630" w:firstLineChars="3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特此授权。有效期同投标有效期。</w:t>
      </w:r>
    </w:p>
    <w:p>
      <w:pPr>
        <w:spacing w:line="360" w:lineRule="auto"/>
        <w:ind w:firstLine="630" w:firstLineChars="3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w:t>
      </w:r>
      <w:r>
        <w:rPr>
          <w:rFonts w:hint="eastAsia" w:ascii="宋体" w:hAnsi="宋体" w:eastAsia="宋体" w:cs="宋体"/>
          <w:bCs/>
          <w:color w:val="000000" w:themeColor="text1"/>
          <w:szCs w:val="21"/>
          <w14:textFill>
            <w14:solidFill>
              <w14:schemeClr w14:val="tx1"/>
            </w14:solidFill>
          </w14:textFill>
        </w:rPr>
        <w:t>盖公章或电子签章或合同章</w:t>
      </w:r>
      <w:r>
        <w:rPr>
          <w:rFonts w:hint="eastAsia" w:ascii="宋体" w:hAnsi="宋体" w:eastAsia="宋体" w:cs="宋体"/>
          <w:color w:val="000000" w:themeColor="text1"/>
          <w:szCs w:val="21"/>
          <w14:textFill>
            <w14:solidFill>
              <w14:schemeClr w14:val="tx1"/>
            </w14:solidFill>
          </w14:textFill>
        </w:rPr>
        <w:t>）</w:t>
      </w:r>
    </w:p>
    <w:p>
      <w:pPr>
        <w:spacing w:line="360" w:lineRule="auto"/>
        <w:ind w:firstLine="630" w:firstLineChars="3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法定代表人：（签字或电子签名）</w:t>
      </w:r>
    </w:p>
    <w:p>
      <w:pPr>
        <w:spacing w:line="360" w:lineRule="auto"/>
        <w:ind w:firstLine="630" w:firstLineChars="30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委托代理人：（签字或电子签名）</w:t>
      </w:r>
    </w:p>
    <w:p>
      <w:pPr>
        <w:wordWrap/>
        <w:spacing w:after="120" w:line="360" w:lineRule="auto"/>
        <w:jc w:val="righ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年</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月</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 xml:space="preserve">日                                      </w:t>
      </w:r>
    </w:p>
    <w:tbl>
      <w:tblPr>
        <w:tblStyle w:val="48"/>
        <w:tblpPr w:leftFromText="180" w:rightFromText="180" w:vertAnchor="text" w:horzAnchor="margin" w:tblpY="259"/>
        <w:tblW w:w="87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0" w:hRule="atLeast"/>
        </w:trPr>
        <w:tc>
          <w:tcPr>
            <w:tcW w:w="8720" w:type="dxa"/>
          </w:tcPr>
          <w:p>
            <w:pPr>
              <w:pStyle w:val="8"/>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8"/>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8"/>
              <w:spacing w:line="360" w:lineRule="auto"/>
              <w:ind w:firstLine="0"/>
              <w:jc w:val="center"/>
              <w:rPr>
                <w:rFonts w:ascii="EYInterstate Light" w:hAnsi="EYInterstate Light" w:eastAsia="EYInterstate Light"/>
                <w:bCs/>
                <w:color w:val="000000" w:themeColor="text1"/>
                <w:sz w:val="24"/>
                <w:szCs w:val="24"/>
                <w14:textFill>
                  <w14:solidFill>
                    <w14:schemeClr w14:val="tx1"/>
                  </w14:solidFill>
                </w14:textFill>
              </w:rPr>
            </w:pPr>
          </w:p>
          <w:p>
            <w:pPr>
              <w:pStyle w:val="8"/>
              <w:spacing w:line="360" w:lineRule="auto"/>
              <w:ind w:firstLine="0"/>
              <w:jc w:val="center"/>
              <w:rPr>
                <w:rFonts w:hint="eastAsia" w:ascii="宋体" w:hAnsi="宋体" w:eastAsia="宋体" w:cs="宋体"/>
                <w:bCs/>
                <w:color w:val="000000" w:themeColor="text1"/>
                <w:sz w:val="24"/>
                <w:szCs w:val="24"/>
                <w14:textFill>
                  <w14:solidFill>
                    <w14:schemeClr w14:val="tx1"/>
                  </w14:solidFill>
                </w14:textFill>
              </w:rPr>
            </w:pPr>
            <w:r>
              <w:rPr>
                <w:rFonts w:hint="eastAsia" w:ascii="宋体" w:hAnsi="宋体" w:eastAsia="宋体" w:cs="宋体"/>
                <w:bCs/>
                <w:color w:val="000000" w:themeColor="text1"/>
                <w:sz w:val="24"/>
                <w:szCs w:val="24"/>
                <w14:textFill>
                  <w14:solidFill>
                    <w14:schemeClr w14:val="tx1"/>
                  </w14:solidFill>
                </w14:textFill>
              </w:rPr>
              <w:t>授权代理人有效、清晰身份证复印件或扫描件</w:t>
            </w:r>
          </w:p>
          <w:p>
            <w:pPr>
              <w:pStyle w:val="8"/>
              <w:spacing w:line="360" w:lineRule="auto"/>
              <w:ind w:firstLine="0"/>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粘贴或扫描处</w:t>
            </w:r>
          </w:p>
          <w:p>
            <w:pPr>
              <w:pStyle w:val="8"/>
              <w:spacing w:line="360" w:lineRule="auto"/>
              <w:ind w:firstLine="0"/>
              <w:jc w:val="both"/>
              <w:rPr>
                <w:rFonts w:hint="eastAsia" w:ascii="宋体" w:hAnsi="宋体" w:eastAsia="宋体" w:cs="宋体"/>
                <w:bCs/>
                <w:color w:val="000000" w:themeColor="text1"/>
                <w:sz w:val="24"/>
                <w:szCs w:val="24"/>
                <w14:textFill>
                  <w14:solidFill>
                    <w14:schemeClr w14:val="tx1"/>
                  </w14:solidFill>
                </w14:textFill>
              </w:rPr>
            </w:pPr>
          </w:p>
          <w:p>
            <w:pPr>
              <w:pStyle w:val="8"/>
              <w:spacing w:line="360" w:lineRule="auto"/>
              <w:ind w:firstLine="0"/>
              <w:jc w:val="both"/>
              <w:rPr>
                <w:rFonts w:ascii="EYInterstate Light" w:hAnsi="EYInterstate Light" w:eastAsia="EYInterstate Light"/>
                <w:bCs/>
                <w:color w:val="000000" w:themeColor="text1"/>
                <w:sz w:val="24"/>
                <w:szCs w:val="24"/>
                <w14:textFill>
                  <w14:solidFill>
                    <w14:schemeClr w14:val="tx1"/>
                  </w14:solidFill>
                </w14:textFill>
              </w:rPr>
            </w:pPr>
          </w:p>
          <w:p>
            <w:pPr>
              <w:pStyle w:val="8"/>
              <w:spacing w:line="360" w:lineRule="auto"/>
              <w:ind w:firstLine="0"/>
              <w:jc w:val="both"/>
              <w:rPr>
                <w:rFonts w:ascii="EYInterstate Light" w:hAnsi="EYInterstate Light" w:eastAsia="EYInterstate Light"/>
                <w:bCs/>
                <w:color w:val="000000" w:themeColor="text1"/>
                <w:sz w:val="24"/>
                <w:szCs w:val="24"/>
                <w14:textFill>
                  <w14:solidFill>
                    <w14:schemeClr w14:val="tx1"/>
                  </w14:solidFill>
                </w14:textFill>
              </w:rPr>
            </w:pPr>
          </w:p>
        </w:tc>
      </w:tr>
    </w:tbl>
    <w:p>
      <w:pPr>
        <w:rPr>
          <w:color w:val="000000" w:themeColor="text1"/>
          <w14:textFill>
            <w14:solidFill>
              <w14:schemeClr w14:val="tx1"/>
            </w14:solidFill>
          </w14:textFill>
        </w:rPr>
      </w:pPr>
    </w:p>
    <w:p>
      <w:pPr>
        <w:numPr>
          <w:ilvl w:val="0"/>
          <w:numId w:val="0"/>
        </w:numPr>
        <w:ind w:left="0" w:leftChars="0" w:firstLine="420" w:firstLineChars="0"/>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numPr>
          <w:ilvl w:val="0"/>
          <w:numId w:val="0"/>
        </w:numPr>
        <w:ind w:left="0" w:leftChars="0" w:firstLine="420" w:firstLineChars="0"/>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sectPr>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pStyle w:val="2"/>
        <w:numPr>
          <w:ilvl w:val="-1"/>
          <w:numId w:val="0"/>
        </w:numPr>
        <w:ind w:left="0" w:firstLine="480" w:firstLineChars="200"/>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（六）服务网点情况表;</w:t>
      </w:r>
    </w:p>
    <w:p>
      <w:pPr>
        <w:pStyle w:val="3"/>
        <w:numPr>
          <w:ilvl w:val="-1"/>
          <w:numId w:val="0"/>
        </w:numPr>
        <w:ind w:left="420" w:firstLine="0"/>
        <w:rPr>
          <w:rFonts w:hint="eastAsia" w:ascii="宋体" w:hAnsi="宋体"/>
          <w:sz w:val="24"/>
        </w:rPr>
      </w:pPr>
    </w:p>
    <w:p>
      <w:pPr>
        <w:pStyle w:val="3"/>
        <w:numPr>
          <w:ilvl w:val="-1"/>
          <w:numId w:val="0"/>
        </w:numPr>
        <w:autoSpaceDE/>
        <w:autoSpaceDN/>
        <w:ind w:left="0" w:firstLine="0"/>
        <w:jc w:val="center"/>
        <w:rPr>
          <w:rFonts w:hint="eastAsia"/>
          <w:lang w:val="en-US" w:eastAsia="zh-CN"/>
        </w:rPr>
      </w:pPr>
      <w:r>
        <w:rPr>
          <w:rFonts w:hint="eastAsia" w:ascii="宋体" w:hAnsi="宋体"/>
          <w:sz w:val="24"/>
        </w:rPr>
        <w:t>距采购人最近或者能为本项目提供最优服务的网点情况表</w:t>
      </w:r>
    </w:p>
    <w:tbl>
      <w:tblPr>
        <w:tblStyle w:val="48"/>
        <w:tblW w:w="852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6"/>
        <w:gridCol w:w="1622"/>
        <w:gridCol w:w="191"/>
        <w:gridCol w:w="1439"/>
        <w:gridCol w:w="888"/>
        <w:gridCol w:w="1435"/>
        <w:gridCol w:w="12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726"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服务网点名称</w:t>
            </w:r>
          </w:p>
        </w:tc>
        <w:tc>
          <w:tcPr>
            <w:tcW w:w="5575" w:type="dxa"/>
            <w:gridSpan w:val="5"/>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c>
          <w:tcPr>
            <w:tcW w:w="1227" w:type="dxa"/>
            <w:vMerge w:val="restart"/>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投标文件</w:t>
            </w:r>
          </w:p>
          <w:p>
            <w:pPr>
              <w:snapToGrid w:val="0"/>
              <w:spacing w:line="360" w:lineRule="auto"/>
              <w:jc w:val="center"/>
              <w:rPr>
                <w:rFonts w:ascii="宋体" w:hAnsi="宋体"/>
                <w:sz w:val="24"/>
                <w:szCs w:val="20"/>
              </w:rPr>
            </w:pPr>
            <w:r>
              <w:rPr>
                <w:rFonts w:hint="eastAsia" w:ascii="宋体" w:hAnsi="宋体"/>
                <w:sz w:val="24"/>
              </w:rPr>
              <w:t>页码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Pr>
        <w:tc>
          <w:tcPr>
            <w:tcW w:w="1726"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地址</w:t>
            </w:r>
          </w:p>
        </w:tc>
        <w:tc>
          <w:tcPr>
            <w:tcW w:w="5575" w:type="dxa"/>
            <w:gridSpan w:val="5"/>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c>
          <w:tcPr>
            <w:tcW w:w="1227"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26"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注册资本金</w:t>
            </w:r>
          </w:p>
        </w:tc>
        <w:tc>
          <w:tcPr>
            <w:tcW w:w="1622"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c>
          <w:tcPr>
            <w:tcW w:w="2518" w:type="dxa"/>
            <w:gridSpan w:val="3"/>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其中：投标人出资比例</w:t>
            </w:r>
          </w:p>
        </w:tc>
        <w:tc>
          <w:tcPr>
            <w:tcW w:w="1435"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c>
          <w:tcPr>
            <w:tcW w:w="1227"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26"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员工总人数</w:t>
            </w:r>
          </w:p>
        </w:tc>
        <w:tc>
          <w:tcPr>
            <w:tcW w:w="1622"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c>
          <w:tcPr>
            <w:tcW w:w="2518" w:type="dxa"/>
            <w:gridSpan w:val="3"/>
            <w:tcBorders>
              <w:top w:val="single" w:color="auto" w:sz="4" w:space="0"/>
              <w:left w:val="single" w:color="auto" w:sz="4" w:space="0"/>
              <w:bottom w:val="single" w:color="auto" w:sz="4" w:space="0"/>
              <w:right w:val="single" w:color="auto" w:sz="4" w:space="0"/>
            </w:tcBorders>
          </w:tcPr>
          <w:p>
            <w:pPr>
              <w:snapToGrid w:val="0"/>
              <w:spacing w:line="360" w:lineRule="auto"/>
              <w:ind w:left="60"/>
              <w:jc w:val="center"/>
              <w:rPr>
                <w:rFonts w:ascii="宋体" w:hAnsi="宋体"/>
                <w:sz w:val="24"/>
                <w:szCs w:val="20"/>
              </w:rPr>
            </w:pPr>
            <w:r>
              <w:rPr>
                <w:rFonts w:hint="eastAsia" w:ascii="宋体" w:hAnsi="宋体"/>
                <w:sz w:val="24"/>
              </w:rPr>
              <w:t>其中：技术人员数</w:t>
            </w:r>
          </w:p>
        </w:tc>
        <w:tc>
          <w:tcPr>
            <w:tcW w:w="1435"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c>
          <w:tcPr>
            <w:tcW w:w="1227"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26"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经营期限</w:t>
            </w:r>
          </w:p>
        </w:tc>
        <w:tc>
          <w:tcPr>
            <w:tcW w:w="5575" w:type="dxa"/>
            <w:gridSpan w:val="5"/>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c>
          <w:tcPr>
            <w:tcW w:w="1227"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26"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售后服务协议</w:t>
            </w:r>
          </w:p>
        </w:tc>
        <w:tc>
          <w:tcPr>
            <w:tcW w:w="5575" w:type="dxa"/>
            <w:gridSpan w:val="5"/>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c>
          <w:tcPr>
            <w:tcW w:w="1227"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26"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售后服务内容</w:t>
            </w:r>
          </w:p>
        </w:tc>
        <w:tc>
          <w:tcPr>
            <w:tcW w:w="5575" w:type="dxa"/>
            <w:gridSpan w:val="5"/>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c>
          <w:tcPr>
            <w:tcW w:w="1227"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1726"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工作业绩</w:t>
            </w:r>
          </w:p>
        </w:tc>
        <w:tc>
          <w:tcPr>
            <w:tcW w:w="5575" w:type="dxa"/>
            <w:gridSpan w:val="5"/>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c>
          <w:tcPr>
            <w:tcW w:w="1227"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26"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服务承诺</w:t>
            </w:r>
          </w:p>
        </w:tc>
        <w:tc>
          <w:tcPr>
            <w:tcW w:w="5575" w:type="dxa"/>
            <w:gridSpan w:val="5"/>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c>
          <w:tcPr>
            <w:tcW w:w="1227"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26"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业务咨询电话</w:t>
            </w:r>
          </w:p>
        </w:tc>
        <w:tc>
          <w:tcPr>
            <w:tcW w:w="1813" w:type="dxa"/>
            <w:gridSpan w:val="2"/>
            <w:tcBorders>
              <w:top w:val="single" w:color="auto" w:sz="4" w:space="0"/>
              <w:left w:val="single" w:color="auto" w:sz="4" w:space="0"/>
              <w:bottom w:val="single" w:color="auto" w:sz="4" w:space="0"/>
              <w:right w:val="single" w:color="auto" w:sz="2" w:space="0"/>
            </w:tcBorders>
          </w:tcPr>
          <w:p>
            <w:pPr>
              <w:snapToGrid w:val="0"/>
              <w:spacing w:line="360" w:lineRule="auto"/>
              <w:jc w:val="center"/>
              <w:rPr>
                <w:rFonts w:ascii="宋体" w:hAnsi="宋体"/>
                <w:sz w:val="24"/>
                <w:szCs w:val="20"/>
              </w:rPr>
            </w:pPr>
          </w:p>
        </w:tc>
        <w:tc>
          <w:tcPr>
            <w:tcW w:w="1439" w:type="dxa"/>
            <w:tcBorders>
              <w:top w:val="single" w:color="auto" w:sz="4" w:space="0"/>
              <w:left w:val="single" w:color="auto" w:sz="2" w:space="0"/>
              <w:bottom w:val="single" w:color="auto" w:sz="4" w:space="0"/>
              <w:right w:val="single" w:color="auto" w:sz="2" w:space="0"/>
            </w:tcBorders>
          </w:tcPr>
          <w:p>
            <w:pPr>
              <w:snapToGrid w:val="0"/>
              <w:spacing w:line="360" w:lineRule="auto"/>
              <w:ind w:firstLine="240" w:firstLineChars="100"/>
              <w:jc w:val="center"/>
              <w:rPr>
                <w:rFonts w:ascii="宋体" w:hAnsi="宋体"/>
                <w:sz w:val="24"/>
                <w:szCs w:val="20"/>
              </w:rPr>
            </w:pPr>
            <w:r>
              <w:rPr>
                <w:rFonts w:hint="eastAsia" w:ascii="宋体" w:hAnsi="宋体"/>
                <w:sz w:val="24"/>
              </w:rPr>
              <w:t>传</w:t>
            </w:r>
            <w:r>
              <w:rPr>
                <w:rFonts w:ascii="宋体" w:hAnsi="宋体"/>
                <w:sz w:val="24"/>
              </w:rPr>
              <w:t xml:space="preserve"> 真</w:t>
            </w:r>
          </w:p>
        </w:tc>
        <w:tc>
          <w:tcPr>
            <w:tcW w:w="2323" w:type="dxa"/>
            <w:gridSpan w:val="2"/>
            <w:tcBorders>
              <w:top w:val="single" w:color="auto" w:sz="4" w:space="0"/>
              <w:left w:val="single" w:color="auto" w:sz="2" w:space="0"/>
              <w:bottom w:val="single" w:color="auto" w:sz="4" w:space="0"/>
              <w:right w:val="single" w:color="auto" w:sz="2" w:space="0"/>
            </w:tcBorders>
          </w:tcPr>
          <w:p>
            <w:pPr>
              <w:snapToGrid w:val="0"/>
              <w:spacing w:line="360" w:lineRule="auto"/>
              <w:jc w:val="center"/>
              <w:rPr>
                <w:rFonts w:ascii="宋体" w:hAnsi="宋体"/>
                <w:sz w:val="24"/>
                <w:szCs w:val="20"/>
              </w:rPr>
            </w:pPr>
          </w:p>
        </w:tc>
        <w:tc>
          <w:tcPr>
            <w:tcW w:w="1227" w:type="dxa"/>
            <w:tcBorders>
              <w:top w:val="single" w:color="auto" w:sz="4" w:space="0"/>
              <w:left w:val="single" w:color="auto" w:sz="2" w:space="0"/>
              <w:bottom w:val="single" w:color="auto" w:sz="4" w:space="0"/>
              <w:right w:val="single" w:color="auto" w:sz="4" w:space="0"/>
            </w:tcBorders>
          </w:tcPr>
          <w:p>
            <w:pPr>
              <w:snapToGrid w:val="0"/>
              <w:spacing w:line="360" w:lineRule="auto"/>
              <w:jc w:val="center"/>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26"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负责人</w:t>
            </w:r>
          </w:p>
        </w:tc>
        <w:tc>
          <w:tcPr>
            <w:tcW w:w="1813" w:type="dxa"/>
            <w:gridSpan w:val="2"/>
            <w:tcBorders>
              <w:top w:val="single" w:color="auto" w:sz="4" w:space="0"/>
              <w:left w:val="single" w:color="auto" w:sz="4" w:space="0"/>
              <w:bottom w:val="single" w:color="auto" w:sz="4" w:space="0"/>
              <w:right w:val="single" w:color="auto" w:sz="2" w:space="0"/>
            </w:tcBorders>
          </w:tcPr>
          <w:p>
            <w:pPr>
              <w:snapToGrid w:val="0"/>
              <w:spacing w:line="360" w:lineRule="auto"/>
              <w:jc w:val="center"/>
              <w:rPr>
                <w:rFonts w:ascii="宋体" w:hAnsi="宋体"/>
                <w:sz w:val="24"/>
                <w:szCs w:val="20"/>
              </w:rPr>
            </w:pPr>
          </w:p>
        </w:tc>
        <w:tc>
          <w:tcPr>
            <w:tcW w:w="1439" w:type="dxa"/>
            <w:tcBorders>
              <w:top w:val="single" w:color="auto" w:sz="4" w:space="0"/>
              <w:left w:val="single" w:color="auto" w:sz="2" w:space="0"/>
              <w:bottom w:val="single" w:color="auto" w:sz="4" w:space="0"/>
              <w:right w:val="single" w:color="auto" w:sz="2" w:space="0"/>
            </w:tcBorders>
          </w:tcPr>
          <w:p>
            <w:pPr>
              <w:snapToGrid w:val="0"/>
              <w:spacing w:line="360" w:lineRule="auto"/>
              <w:jc w:val="center"/>
              <w:rPr>
                <w:rFonts w:ascii="宋体" w:hAnsi="宋体"/>
                <w:sz w:val="24"/>
                <w:szCs w:val="20"/>
              </w:rPr>
            </w:pPr>
            <w:r>
              <w:rPr>
                <w:rFonts w:hint="eastAsia" w:ascii="宋体" w:hAnsi="宋体"/>
                <w:sz w:val="24"/>
              </w:rPr>
              <w:t>联系电话</w:t>
            </w:r>
          </w:p>
        </w:tc>
        <w:tc>
          <w:tcPr>
            <w:tcW w:w="2323" w:type="dxa"/>
            <w:gridSpan w:val="2"/>
            <w:tcBorders>
              <w:top w:val="single" w:color="auto" w:sz="4" w:space="0"/>
              <w:left w:val="single" w:color="auto" w:sz="2" w:space="0"/>
              <w:bottom w:val="single" w:color="auto" w:sz="4" w:space="0"/>
              <w:right w:val="single" w:color="auto" w:sz="4" w:space="0"/>
            </w:tcBorders>
          </w:tcPr>
          <w:p>
            <w:pPr>
              <w:snapToGrid w:val="0"/>
              <w:spacing w:line="360" w:lineRule="auto"/>
              <w:jc w:val="center"/>
              <w:rPr>
                <w:rFonts w:ascii="宋体" w:hAnsi="宋体"/>
                <w:sz w:val="24"/>
                <w:szCs w:val="20"/>
              </w:rPr>
            </w:pPr>
          </w:p>
        </w:tc>
        <w:tc>
          <w:tcPr>
            <w:tcW w:w="1227"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p>
        </w:tc>
      </w:tr>
    </w:tbl>
    <w:p>
      <w:pPr>
        <w:pStyle w:val="2"/>
        <w:rPr>
          <w:rFonts w:hint="eastAsia"/>
          <w:lang w:val="en-US" w:eastAsia="zh-CN"/>
        </w:rPr>
        <w:sectPr>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pStyle w:val="2"/>
        <w:numPr>
          <w:ilvl w:val="0"/>
          <w:numId w:val="0"/>
        </w:numPr>
        <w:ind w:firstLine="480" w:firstLineChars="200"/>
        <w:rPr>
          <w:rFonts w:hint="eastAsia" w:ascii="宋体" w:hAnsi="宋体" w:eastAsia="宋体" w:cs="宋体"/>
          <w:b/>
          <w:bCs/>
          <w:sz w:val="24"/>
          <w:szCs w:val="24"/>
          <w:lang w:val="en-US" w:eastAsia="zh-CN"/>
        </w:rPr>
        <w:sectPr>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r>
        <w:rPr>
          <w:rFonts w:hint="eastAsia" w:ascii="宋体" w:hAnsi="宋体" w:eastAsia="宋体" w:cs="宋体"/>
          <w:b/>
          <w:bCs/>
          <w:sz w:val="24"/>
          <w:szCs w:val="24"/>
          <w:lang w:val="en-US" w:eastAsia="zh-CN"/>
        </w:rPr>
        <w:t>(七)服务承诺及合理化建议;</w:t>
      </w:r>
    </w:p>
    <w:p>
      <w:pPr>
        <w:pStyle w:val="2"/>
        <w:numPr>
          <w:ilvl w:val="0"/>
          <w:numId w:val="0"/>
        </w:numPr>
        <w:snapToGrid w:val="0"/>
        <w:spacing w:line="360" w:lineRule="auto"/>
        <w:ind w:firstLine="480" w:firstLineChars="200"/>
        <w:jc w:val="left"/>
        <w:rPr>
          <w:rFonts w:hint="eastAsia" w:ascii="宋体" w:hAnsi="宋体" w:eastAsia="宋体" w:cs="宋体"/>
          <w:b/>
          <w:bCs/>
          <w:sz w:val="24"/>
          <w:szCs w:val="24"/>
        </w:rPr>
      </w:pPr>
      <w:r>
        <w:rPr>
          <w:rFonts w:hint="eastAsia" w:ascii="宋体" w:hAnsi="宋体" w:eastAsia="宋体" w:cs="宋体"/>
          <w:b/>
          <w:bCs/>
          <w:sz w:val="24"/>
          <w:szCs w:val="24"/>
          <w:lang w:eastAsia="zh-CN"/>
        </w:rPr>
        <w:t>（</w:t>
      </w:r>
      <w:r>
        <w:rPr>
          <w:rFonts w:hint="eastAsia" w:ascii="宋体" w:hAnsi="宋体" w:eastAsia="宋体" w:cs="宋体"/>
          <w:b/>
          <w:bCs/>
          <w:sz w:val="24"/>
          <w:szCs w:val="24"/>
          <w:lang w:val="en-US" w:eastAsia="zh-CN"/>
        </w:rPr>
        <w:t>八</w:t>
      </w:r>
      <w:r>
        <w:rPr>
          <w:rFonts w:hint="eastAsia" w:ascii="宋体" w:hAnsi="宋体" w:eastAsia="宋体" w:cs="宋体"/>
          <w:b/>
          <w:bCs/>
          <w:sz w:val="24"/>
          <w:szCs w:val="24"/>
          <w:lang w:eastAsia="zh-CN"/>
        </w:rPr>
        <w:t>）</w:t>
      </w:r>
      <w:r>
        <w:rPr>
          <w:rFonts w:hint="eastAsia" w:ascii="宋体" w:hAnsi="宋体" w:eastAsia="宋体" w:cs="宋体"/>
          <w:b/>
          <w:bCs/>
          <w:sz w:val="24"/>
          <w:szCs w:val="24"/>
        </w:rPr>
        <w:t>信用承诺书</w:t>
      </w:r>
    </w:p>
    <w:p>
      <w:pPr>
        <w:tabs>
          <w:tab w:val="left" w:pos="1650"/>
        </w:tabs>
        <w:spacing w:line="360" w:lineRule="auto"/>
        <w:jc w:val="center"/>
        <w:rPr>
          <w:rFonts w:hint="eastAsia" w:ascii="黑体" w:hAnsi="黑体" w:eastAsia="黑体" w:cs="黑体"/>
          <w:sz w:val="44"/>
          <w:szCs w:val="44"/>
        </w:rPr>
      </w:pPr>
      <w:r>
        <w:rPr>
          <w:rFonts w:hint="eastAsia" w:ascii="黑体" w:hAnsi="黑体" w:eastAsia="黑体" w:cs="黑体"/>
          <w:sz w:val="44"/>
          <w:szCs w:val="44"/>
        </w:rPr>
        <w:t>信用承诺书</w:t>
      </w:r>
    </w:p>
    <w:p>
      <w:pPr>
        <w:tabs>
          <w:tab w:val="left" w:pos="1650"/>
        </w:tabs>
        <w:spacing w:line="360" w:lineRule="auto"/>
        <w:ind w:firstLine="0" w:firstLineChars="0"/>
        <w:jc w:val="left"/>
        <w:rPr>
          <w:rFonts w:hint="eastAsia" w:ascii="宋体" w:hAnsi="宋体" w:eastAsia="宋体" w:cs="宋体"/>
          <w:sz w:val="21"/>
          <w:szCs w:val="21"/>
        </w:rPr>
      </w:pPr>
    </w:p>
    <w:p>
      <w:pPr>
        <w:tabs>
          <w:tab w:val="left" w:pos="1650"/>
        </w:tabs>
        <w:spacing w:line="360" w:lineRule="auto"/>
        <w:ind w:firstLine="0" w:firstLineChars="0"/>
        <w:jc w:val="left"/>
        <w:rPr>
          <w:rFonts w:hint="eastAsia" w:ascii="宋体" w:hAnsi="宋体" w:eastAsia="宋体" w:cs="宋体"/>
          <w:sz w:val="21"/>
          <w:szCs w:val="21"/>
        </w:rPr>
      </w:pPr>
      <w:r>
        <w:rPr>
          <w:rFonts w:hint="eastAsia" w:ascii="宋体" w:hAnsi="宋体" w:eastAsia="宋体" w:cs="宋体"/>
          <w:sz w:val="21"/>
          <w:szCs w:val="21"/>
        </w:rPr>
        <w:t>（投标单位）现参加（采购项目）政府采购活动，郑重承诺如下：</w:t>
      </w:r>
    </w:p>
    <w:p>
      <w:pPr>
        <w:tabs>
          <w:tab w:val="left" w:pos="1650"/>
        </w:tabs>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对所提供的资料合法性、真实性、准确性和有效性负责；</w:t>
      </w:r>
    </w:p>
    <w:p>
      <w:pPr>
        <w:tabs>
          <w:tab w:val="left" w:pos="1650"/>
        </w:tabs>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严格按照国家法律、法规和规章，依法开展相关经济活动，全面履行应尽的责任和义务；</w:t>
      </w:r>
    </w:p>
    <w:p>
      <w:pPr>
        <w:tabs>
          <w:tab w:val="left" w:pos="1650"/>
        </w:tabs>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加强自我约束、自我规范、自我管理，不制假售假、不虚假宣传、不违约毁约、不恶意逃债、不偷税漏税，诚信依法经营；</w:t>
      </w:r>
    </w:p>
    <w:p>
      <w:pPr>
        <w:tabs>
          <w:tab w:val="left" w:pos="1650"/>
        </w:tabs>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自愿接受行政主管部门的依法检查、违背承诺约定将自愿承担违约责任，并接受法律法规和相关部门规章制度的惩戒和约束；</w:t>
      </w:r>
    </w:p>
    <w:p>
      <w:pPr>
        <w:tabs>
          <w:tab w:val="left" w:pos="1650"/>
        </w:tabs>
        <w:spacing w:line="360" w:lineRule="auto"/>
        <w:ind w:firstLine="420" w:firstLineChars="200"/>
        <w:rPr>
          <w:rFonts w:hint="eastAsia" w:ascii="宋体" w:hAnsi="宋体" w:eastAsia="宋体" w:cs="宋体"/>
          <w:sz w:val="21"/>
          <w:szCs w:val="21"/>
        </w:rPr>
      </w:pPr>
      <w:r>
        <w:rPr>
          <w:rFonts w:hint="eastAsia" w:ascii="宋体" w:hAnsi="宋体" w:eastAsia="宋体" w:cs="宋体"/>
          <w:kern w:val="0"/>
          <w:sz w:val="21"/>
          <w:szCs w:val="21"/>
        </w:rPr>
        <w:t>按照信用信息管理有关要求，本单位（个人）同意将以上承诺在信用</w:t>
      </w:r>
      <w:r>
        <w:rPr>
          <w:rFonts w:hint="eastAsia" w:ascii="宋体" w:hAnsi="宋体" w:eastAsia="宋体" w:cs="宋体"/>
          <w:kern w:val="0"/>
          <w:sz w:val="21"/>
          <w:szCs w:val="21"/>
          <w:lang w:val="en-US" w:eastAsia="zh-CN"/>
        </w:rPr>
        <w:t>台州</w:t>
      </w:r>
      <w:r>
        <w:rPr>
          <w:rFonts w:hint="eastAsia" w:ascii="宋体" w:hAnsi="宋体" w:eastAsia="宋体" w:cs="宋体"/>
          <w:kern w:val="0"/>
          <w:sz w:val="21"/>
          <w:szCs w:val="21"/>
        </w:rPr>
        <w:t>网站公示，若违背以上承诺，依据相关规定记入企业（个人）信用档案；性质严重的，承担相应法律后果和责任，并依法依规列入严重失信名单。</w:t>
      </w:r>
    </w:p>
    <w:p>
      <w:pPr>
        <w:pStyle w:val="328"/>
        <w:spacing w:before="0" w:beforeAutospacing="0" w:after="0" w:afterAutospacing="0" w:line="360" w:lineRule="auto"/>
        <w:ind w:firstLine="420" w:firstLineChars="200"/>
        <w:rPr>
          <w:rFonts w:hint="eastAsia" w:ascii="宋体" w:hAnsi="宋体" w:eastAsia="宋体" w:cs="宋体"/>
          <w:spacing w:val="-7"/>
          <w:sz w:val="21"/>
          <w:szCs w:val="21"/>
        </w:rPr>
      </w:pPr>
      <w:r>
        <w:rPr>
          <w:rFonts w:hint="eastAsia" w:ascii="宋体" w:hAnsi="宋体" w:eastAsia="宋体" w:cs="宋体"/>
          <w:kern w:val="2"/>
          <w:sz w:val="21"/>
          <w:szCs w:val="21"/>
        </w:rPr>
        <w:t>统一社会信用代码：</w:t>
      </w:r>
    </w:p>
    <w:p>
      <w:pPr>
        <w:pStyle w:val="328"/>
        <w:spacing w:before="0" w:beforeAutospacing="0" w:after="0" w:afterAutospacing="0" w:line="360" w:lineRule="auto"/>
        <w:ind w:firstLine="3240" w:firstLineChars="1350"/>
        <w:jc w:val="right"/>
        <w:rPr>
          <w:rFonts w:hint="eastAsia" w:cs="Times New Roman"/>
          <w:kern w:val="2"/>
        </w:rPr>
      </w:pPr>
    </w:p>
    <w:p>
      <w:pPr>
        <w:pStyle w:val="328"/>
        <w:spacing w:before="0" w:beforeAutospacing="0" w:after="0" w:afterAutospacing="0" w:line="360" w:lineRule="auto"/>
        <w:ind w:firstLine="3240" w:firstLineChars="1350"/>
        <w:jc w:val="right"/>
        <w:rPr>
          <w:rFonts w:hint="eastAsia" w:cs="Times New Roman"/>
          <w:kern w:val="2"/>
        </w:rPr>
      </w:pPr>
    </w:p>
    <w:p>
      <w:pPr>
        <w:pStyle w:val="328"/>
        <w:spacing w:before="0" w:beforeAutospacing="0" w:after="0" w:afterAutospacing="0" w:line="360" w:lineRule="auto"/>
        <w:ind w:firstLine="3240" w:firstLineChars="1350"/>
        <w:jc w:val="right"/>
        <w:rPr>
          <w:rFonts w:cs="Times New Roman"/>
          <w:kern w:val="2"/>
        </w:rPr>
      </w:pPr>
      <w:r>
        <w:rPr>
          <w:rFonts w:hint="eastAsia" w:cs="Times New Roman"/>
          <w:kern w:val="2"/>
        </w:rPr>
        <w:t>承诺单位</w:t>
      </w:r>
      <w:r>
        <w:rPr>
          <w:rFonts w:cs="Times New Roman"/>
          <w:kern w:val="2"/>
        </w:rPr>
        <w:t>/</w:t>
      </w:r>
      <w:r>
        <w:rPr>
          <w:rFonts w:hint="eastAsia" w:cs="Times New Roman"/>
          <w:kern w:val="2"/>
        </w:rPr>
        <w:t>个人（盖章</w:t>
      </w:r>
      <w:r>
        <w:rPr>
          <w:rFonts w:cs="Times New Roman"/>
          <w:kern w:val="2"/>
        </w:rPr>
        <w:t>/</w:t>
      </w:r>
      <w:r>
        <w:rPr>
          <w:rFonts w:hint="eastAsia" w:cs="Times New Roman"/>
          <w:kern w:val="2"/>
        </w:rPr>
        <w:t>签名）</w:t>
      </w:r>
    </w:p>
    <w:p>
      <w:pPr>
        <w:spacing w:line="360" w:lineRule="auto"/>
        <w:ind w:firstLine="3480" w:firstLineChars="1450"/>
        <w:jc w:val="right"/>
        <w:rPr>
          <w:rFonts w:hint="eastAsia"/>
          <w:b/>
          <w:bCs/>
          <w:lang w:val="en-US" w:eastAsia="zh-CN"/>
        </w:rPr>
        <w:sectPr>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r>
        <w:rPr>
          <w:rFonts w:hint="eastAsia" w:ascii="宋体" w:hAnsi="宋体"/>
          <w:sz w:val="24"/>
        </w:rPr>
        <w:t>时间：</w:t>
      </w:r>
      <w:r>
        <w:rPr>
          <w:rFonts w:ascii="宋体" w:hAnsi="宋体"/>
          <w:sz w:val="24"/>
        </w:rPr>
        <w:t>2024年</w:t>
      </w:r>
      <w:r>
        <w:rPr>
          <w:rFonts w:hint="eastAsia" w:ascii="宋体" w:hAnsi="宋体"/>
          <w:sz w:val="24"/>
        </w:rPr>
        <w:t xml:space="preserve"> 月 日</w:t>
      </w:r>
    </w:p>
    <w:p>
      <w:pPr>
        <w:pStyle w:val="3"/>
        <w:rPr>
          <w:rFonts w:hint="eastAsia"/>
          <w:lang w:val="en-US" w:eastAsia="zh-CN"/>
        </w:rPr>
      </w:pPr>
    </w:p>
    <w:p>
      <w:pPr>
        <w:snapToGrid w:val="0"/>
        <w:spacing w:line="360" w:lineRule="auto"/>
        <w:ind w:firstLine="480" w:firstLineChars="200"/>
        <w:jc w:val="left"/>
        <w:rPr>
          <w:rFonts w:hint="eastAsia" w:ascii="宋体" w:hAnsi="宋体" w:eastAsia="宋体" w:cs="宋体"/>
          <w:b/>
          <w:bCs/>
          <w:sz w:val="24"/>
          <w:szCs w:val="20"/>
        </w:rPr>
      </w:pPr>
      <w:r>
        <w:rPr>
          <w:rFonts w:hint="eastAsia" w:ascii="宋体" w:hAnsi="宋体" w:eastAsia="宋体" w:cs="宋体"/>
          <w:b/>
          <w:bCs/>
          <w:sz w:val="24"/>
          <w:lang w:val="en-US" w:eastAsia="zh-CN"/>
        </w:rPr>
        <w:t>（九）商务、技术、价格</w:t>
      </w:r>
      <w:r>
        <w:rPr>
          <w:rFonts w:hint="eastAsia" w:ascii="宋体" w:hAnsi="宋体" w:eastAsia="宋体" w:cs="宋体"/>
          <w:b/>
          <w:bCs/>
          <w:sz w:val="24"/>
        </w:rPr>
        <w:t>响应表格式：</w:t>
      </w:r>
    </w:p>
    <w:p>
      <w:pPr>
        <w:snapToGrid w:val="0"/>
        <w:spacing w:line="360" w:lineRule="auto"/>
        <w:jc w:val="left"/>
        <w:rPr>
          <w:rFonts w:ascii="宋体" w:hAnsi="宋体"/>
          <w:sz w:val="24"/>
          <w:szCs w:val="20"/>
          <w:u w:val="single"/>
        </w:rPr>
      </w:pPr>
      <w:r>
        <w:rPr>
          <w:rFonts w:hint="eastAsia" w:ascii="宋体" w:hAnsi="宋体"/>
          <w:sz w:val="24"/>
        </w:rPr>
        <w:t>项目名称：</w:t>
      </w:r>
    </w:p>
    <w:tbl>
      <w:tblPr>
        <w:tblStyle w:val="48"/>
        <w:tblW w:w="850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7"/>
        <w:gridCol w:w="3928"/>
        <w:gridCol w:w="1344"/>
        <w:gridCol w:w="24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747"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项目</w:t>
            </w:r>
          </w:p>
        </w:tc>
        <w:tc>
          <w:tcPr>
            <w:tcW w:w="3928"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招标文件要求</w:t>
            </w:r>
          </w:p>
        </w:tc>
        <w:tc>
          <w:tcPr>
            <w:tcW w:w="1344"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是否响应</w:t>
            </w:r>
          </w:p>
        </w:tc>
        <w:tc>
          <w:tcPr>
            <w:tcW w:w="2485" w:type="dxa"/>
            <w:tcBorders>
              <w:top w:val="single" w:color="auto" w:sz="4" w:space="0"/>
              <w:left w:val="single" w:color="auto" w:sz="4" w:space="0"/>
              <w:bottom w:val="single" w:color="auto" w:sz="4" w:space="0"/>
              <w:right w:val="single" w:color="auto" w:sz="4" w:space="0"/>
            </w:tcBorders>
          </w:tcPr>
          <w:p>
            <w:pPr>
              <w:snapToGrid w:val="0"/>
              <w:spacing w:line="360" w:lineRule="auto"/>
              <w:jc w:val="center"/>
              <w:rPr>
                <w:rFonts w:ascii="宋体" w:hAnsi="宋体"/>
                <w:sz w:val="24"/>
                <w:szCs w:val="20"/>
              </w:rPr>
            </w:pPr>
            <w:r>
              <w:rPr>
                <w:rFonts w:hint="eastAsia" w:ascii="宋体" w:hAnsi="宋体"/>
                <w:sz w:val="24"/>
              </w:rPr>
              <w:t>投标人的承诺或说明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747" w:type="dxa"/>
            <w:tcBorders>
              <w:top w:val="single" w:color="auto" w:sz="4" w:space="0"/>
              <w:left w:val="single" w:color="auto" w:sz="4" w:space="0"/>
              <w:bottom w:val="single" w:color="auto" w:sz="4" w:space="0"/>
              <w:right w:val="single" w:color="auto" w:sz="4" w:space="0"/>
            </w:tcBorders>
          </w:tcPr>
          <w:p>
            <w:pPr>
              <w:widowControl/>
              <w:spacing w:line="360" w:lineRule="auto"/>
              <w:jc w:val="left"/>
              <w:rPr>
                <w:rFonts w:ascii="宋体" w:hAnsi="宋体"/>
                <w:sz w:val="24"/>
              </w:rPr>
            </w:pPr>
          </w:p>
        </w:tc>
        <w:tc>
          <w:tcPr>
            <w:tcW w:w="3928" w:type="dxa"/>
            <w:tcBorders>
              <w:top w:val="single" w:color="auto" w:sz="4" w:space="0"/>
              <w:left w:val="single" w:color="auto" w:sz="4" w:space="0"/>
              <w:bottom w:val="single" w:color="auto" w:sz="4" w:space="0"/>
              <w:right w:val="single" w:color="auto" w:sz="4" w:space="0"/>
            </w:tcBorders>
          </w:tcPr>
          <w:p>
            <w:pPr>
              <w:widowControl/>
              <w:spacing w:line="360" w:lineRule="auto"/>
              <w:jc w:val="left"/>
            </w:pPr>
          </w:p>
        </w:tc>
        <w:tc>
          <w:tcPr>
            <w:tcW w:w="1344" w:type="dxa"/>
            <w:tcBorders>
              <w:top w:val="single" w:color="auto" w:sz="4" w:space="0"/>
              <w:left w:val="single" w:color="auto" w:sz="4" w:space="0"/>
              <w:bottom w:val="single" w:color="auto" w:sz="4" w:space="0"/>
              <w:right w:val="single" w:color="auto" w:sz="4" w:space="0"/>
            </w:tcBorders>
          </w:tcPr>
          <w:p>
            <w:pPr>
              <w:snapToGrid w:val="0"/>
              <w:spacing w:line="360" w:lineRule="auto"/>
              <w:rPr>
                <w:rFonts w:ascii="宋体" w:hAnsi="宋体"/>
                <w:sz w:val="24"/>
                <w:szCs w:val="20"/>
              </w:rPr>
            </w:pPr>
          </w:p>
        </w:tc>
        <w:tc>
          <w:tcPr>
            <w:tcW w:w="2485" w:type="dxa"/>
            <w:tcBorders>
              <w:top w:val="single" w:color="auto" w:sz="4" w:space="0"/>
              <w:left w:val="single" w:color="auto" w:sz="4" w:space="0"/>
              <w:bottom w:val="single" w:color="auto" w:sz="4" w:space="0"/>
              <w:right w:val="single" w:color="auto" w:sz="4" w:space="0"/>
            </w:tcBorders>
          </w:tcPr>
          <w:p>
            <w:pPr>
              <w:snapToGrid w:val="0"/>
              <w:spacing w:line="360" w:lineRule="auto"/>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747"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z w:val="24"/>
              </w:rPr>
            </w:pPr>
          </w:p>
        </w:tc>
        <w:tc>
          <w:tcPr>
            <w:tcW w:w="3928"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z w:val="24"/>
              </w:rPr>
            </w:pPr>
          </w:p>
        </w:tc>
        <w:tc>
          <w:tcPr>
            <w:tcW w:w="1344" w:type="dxa"/>
            <w:tcBorders>
              <w:top w:val="single" w:color="auto" w:sz="4" w:space="0"/>
              <w:left w:val="single" w:color="auto" w:sz="4" w:space="0"/>
              <w:bottom w:val="single" w:color="auto" w:sz="4" w:space="0"/>
              <w:right w:val="single" w:color="auto" w:sz="4" w:space="0"/>
            </w:tcBorders>
          </w:tcPr>
          <w:p>
            <w:pPr>
              <w:snapToGrid w:val="0"/>
              <w:spacing w:line="360" w:lineRule="auto"/>
              <w:rPr>
                <w:rFonts w:ascii="宋体" w:hAnsi="宋体"/>
                <w:sz w:val="24"/>
                <w:szCs w:val="20"/>
              </w:rPr>
            </w:pPr>
          </w:p>
        </w:tc>
        <w:tc>
          <w:tcPr>
            <w:tcW w:w="2485" w:type="dxa"/>
            <w:tcBorders>
              <w:top w:val="single" w:color="auto" w:sz="4" w:space="0"/>
              <w:left w:val="single" w:color="auto" w:sz="4" w:space="0"/>
              <w:bottom w:val="single" w:color="auto" w:sz="4" w:space="0"/>
              <w:right w:val="single" w:color="auto" w:sz="4" w:space="0"/>
            </w:tcBorders>
          </w:tcPr>
          <w:p>
            <w:pPr>
              <w:snapToGrid w:val="0"/>
              <w:spacing w:line="360" w:lineRule="auto"/>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747" w:type="dxa"/>
            <w:tcBorders>
              <w:top w:val="single" w:color="auto" w:sz="4" w:space="0"/>
              <w:left w:val="single" w:color="auto" w:sz="4" w:space="0"/>
              <w:bottom w:val="single" w:color="auto" w:sz="4" w:space="0"/>
              <w:right w:val="single" w:color="auto" w:sz="4" w:space="0"/>
            </w:tcBorders>
          </w:tcPr>
          <w:p>
            <w:pPr>
              <w:widowControl/>
              <w:spacing w:line="360" w:lineRule="auto"/>
              <w:jc w:val="left"/>
              <w:rPr>
                <w:rFonts w:ascii="宋体" w:hAnsi="宋体"/>
                <w:sz w:val="24"/>
              </w:rPr>
            </w:pPr>
          </w:p>
        </w:tc>
        <w:tc>
          <w:tcPr>
            <w:tcW w:w="3928" w:type="dxa"/>
            <w:tcBorders>
              <w:top w:val="single" w:color="auto" w:sz="4" w:space="0"/>
              <w:left w:val="single" w:color="auto" w:sz="4" w:space="0"/>
              <w:bottom w:val="single" w:color="auto" w:sz="4" w:space="0"/>
              <w:right w:val="single" w:color="auto" w:sz="4" w:space="0"/>
            </w:tcBorders>
          </w:tcPr>
          <w:p>
            <w:pPr>
              <w:widowControl/>
              <w:spacing w:line="360" w:lineRule="auto"/>
              <w:jc w:val="left"/>
            </w:pPr>
          </w:p>
        </w:tc>
        <w:tc>
          <w:tcPr>
            <w:tcW w:w="1344" w:type="dxa"/>
            <w:tcBorders>
              <w:top w:val="single" w:color="auto" w:sz="4" w:space="0"/>
              <w:left w:val="single" w:color="auto" w:sz="4" w:space="0"/>
              <w:bottom w:val="single" w:color="auto" w:sz="4" w:space="0"/>
              <w:right w:val="single" w:color="auto" w:sz="4" w:space="0"/>
            </w:tcBorders>
          </w:tcPr>
          <w:p>
            <w:pPr>
              <w:snapToGrid w:val="0"/>
              <w:spacing w:line="360" w:lineRule="auto"/>
              <w:ind w:left="43"/>
              <w:rPr>
                <w:rFonts w:ascii="宋体" w:hAnsi="宋体"/>
                <w:sz w:val="24"/>
                <w:szCs w:val="20"/>
              </w:rPr>
            </w:pPr>
          </w:p>
        </w:tc>
        <w:tc>
          <w:tcPr>
            <w:tcW w:w="2485" w:type="dxa"/>
            <w:tcBorders>
              <w:top w:val="single" w:color="auto" w:sz="4" w:space="0"/>
              <w:left w:val="single" w:color="auto" w:sz="4" w:space="0"/>
              <w:bottom w:val="single" w:color="auto" w:sz="4" w:space="0"/>
              <w:right w:val="single" w:color="auto" w:sz="4" w:space="0"/>
            </w:tcBorders>
          </w:tcPr>
          <w:p>
            <w:pPr>
              <w:snapToGrid w:val="0"/>
              <w:spacing w:line="360" w:lineRule="auto"/>
              <w:ind w:left="43"/>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47" w:type="dxa"/>
            <w:tcBorders>
              <w:top w:val="single" w:color="auto" w:sz="4" w:space="0"/>
              <w:left w:val="single" w:color="auto" w:sz="4" w:space="0"/>
              <w:right w:val="single" w:color="auto" w:sz="4" w:space="0"/>
            </w:tcBorders>
            <w:vAlign w:val="center"/>
          </w:tcPr>
          <w:p>
            <w:pPr>
              <w:widowControl/>
              <w:spacing w:line="360" w:lineRule="auto"/>
              <w:jc w:val="left"/>
              <w:rPr>
                <w:rFonts w:ascii="宋体" w:hAnsi="宋体"/>
                <w:sz w:val="24"/>
              </w:rPr>
            </w:pPr>
          </w:p>
        </w:tc>
        <w:tc>
          <w:tcPr>
            <w:tcW w:w="3928" w:type="dxa"/>
            <w:tcBorders>
              <w:top w:val="single" w:color="auto" w:sz="4" w:space="0"/>
              <w:left w:val="single" w:color="auto" w:sz="4" w:space="0"/>
              <w:bottom w:val="single" w:color="auto" w:sz="4" w:space="0"/>
              <w:right w:val="single" w:color="auto" w:sz="4" w:space="0"/>
            </w:tcBorders>
          </w:tcPr>
          <w:p>
            <w:pPr>
              <w:pStyle w:val="297"/>
              <w:ind w:firstLine="480"/>
              <w:rPr>
                <w:kern w:val="2"/>
                <w:sz w:val="24"/>
                <w:szCs w:val="24"/>
              </w:rPr>
            </w:pPr>
          </w:p>
        </w:tc>
        <w:tc>
          <w:tcPr>
            <w:tcW w:w="1344" w:type="dxa"/>
            <w:tcBorders>
              <w:top w:val="single" w:color="auto" w:sz="4" w:space="0"/>
              <w:left w:val="single" w:color="auto" w:sz="4" w:space="0"/>
              <w:bottom w:val="single" w:color="auto" w:sz="4" w:space="0"/>
              <w:right w:val="single" w:color="auto" w:sz="4" w:space="0"/>
            </w:tcBorders>
          </w:tcPr>
          <w:p>
            <w:pPr>
              <w:snapToGrid w:val="0"/>
              <w:spacing w:line="360" w:lineRule="auto"/>
              <w:rPr>
                <w:rFonts w:ascii="宋体" w:hAnsi="宋体"/>
                <w:sz w:val="24"/>
                <w:szCs w:val="20"/>
              </w:rPr>
            </w:pPr>
          </w:p>
        </w:tc>
        <w:tc>
          <w:tcPr>
            <w:tcW w:w="2485" w:type="dxa"/>
            <w:tcBorders>
              <w:top w:val="single" w:color="auto" w:sz="4" w:space="0"/>
              <w:left w:val="single" w:color="auto" w:sz="4" w:space="0"/>
              <w:bottom w:val="single" w:color="auto" w:sz="4" w:space="0"/>
              <w:right w:val="single" w:color="auto" w:sz="4" w:space="0"/>
            </w:tcBorders>
          </w:tcPr>
          <w:p>
            <w:pPr>
              <w:snapToGrid w:val="0"/>
              <w:spacing w:line="360" w:lineRule="auto"/>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47" w:type="dxa"/>
            <w:tcBorders>
              <w:left w:val="single" w:color="auto" w:sz="4" w:space="0"/>
              <w:right w:val="single" w:color="auto" w:sz="4" w:space="0"/>
            </w:tcBorders>
            <w:vAlign w:val="center"/>
          </w:tcPr>
          <w:p>
            <w:pPr>
              <w:widowControl/>
              <w:spacing w:line="360" w:lineRule="auto"/>
              <w:jc w:val="left"/>
              <w:rPr>
                <w:rFonts w:ascii="宋体" w:hAnsi="宋体"/>
                <w:sz w:val="24"/>
              </w:rPr>
            </w:pPr>
          </w:p>
        </w:tc>
        <w:tc>
          <w:tcPr>
            <w:tcW w:w="3928" w:type="dxa"/>
            <w:tcBorders>
              <w:top w:val="single" w:color="auto" w:sz="4" w:space="0"/>
              <w:left w:val="single" w:color="auto" w:sz="4" w:space="0"/>
              <w:bottom w:val="single" w:color="auto" w:sz="4" w:space="0"/>
              <w:right w:val="single" w:color="auto" w:sz="4" w:space="0"/>
            </w:tcBorders>
          </w:tcPr>
          <w:p>
            <w:pPr>
              <w:pStyle w:val="297"/>
              <w:ind w:firstLine="480"/>
              <w:rPr>
                <w:kern w:val="2"/>
                <w:sz w:val="24"/>
                <w:szCs w:val="24"/>
              </w:rPr>
            </w:pPr>
          </w:p>
        </w:tc>
        <w:tc>
          <w:tcPr>
            <w:tcW w:w="1344" w:type="dxa"/>
            <w:tcBorders>
              <w:top w:val="single" w:color="auto" w:sz="4" w:space="0"/>
              <w:left w:val="single" w:color="auto" w:sz="4" w:space="0"/>
              <w:bottom w:val="single" w:color="auto" w:sz="4" w:space="0"/>
              <w:right w:val="single" w:color="auto" w:sz="4" w:space="0"/>
            </w:tcBorders>
          </w:tcPr>
          <w:p>
            <w:pPr>
              <w:snapToGrid w:val="0"/>
              <w:spacing w:line="360" w:lineRule="auto"/>
              <w:rPr>
                <w:rFonts w:ascii="宋体" w:hAnsi="宋体"/>
                <w:sz w:val="24"/>
                <w:szCs w:val="20"/>
              </w:rPr>
            </w:pPr>
          </w:p>
        </w:tc>
        <w:tc>
          <w:tcPr>
            <w:tcW w:w="2485" w:type="dxa"/>
            <w:tcBorders>
              <w:top w:val="single" w:color="auto" w:sz="4" w:space="0"/>
              <w:left w:val="single" w:color="auto" w:sz="4" w:space="0"/>
              <w:bottom w:val="single" w:color="auto" w:sz="4" w:space="0"/>
              <w:right w:val="single" w:color="auto" w:sz="4" w:space="0"/>
            </w:tcBorders>
          </w:tcPr>
          <w:p>
            <w:pPr>
              <w:snapToGrid w:val="0"/>
              <w:spacing w:line="360" w:lineRule="auto"/>
              <w:rPr>
                <w:rFonts w:ascii="宋体" w:hAnsi="宋体"/>
                <w:sz w:val="24"/>
                <w:szCs w:val="20"/>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47" w:type="dxa"/>
            <w:tcBorders>
              <w:left w:val="single" w:color="auto" w:sz="4" w:space="0"/>
              <w:bottom w:val="single" w:color="auto" w:sz="4" w:space="0"/>
              <w:right w:val="single" w:color="auto" w:sz="4" w:space="0"/>
            </w:tcBorders>
            <w:vAlign w:val="center"/>
          </w:tcPr>
          <w:p>
            <w:pPr>
              <w:widowControl/>
              <w:spacing w:line="360" w:lineRule="auto"/>
              <w:jc w:val="left"/>
              <w:rPr>
                <w:rFonts w:ascii="宋体" w:hAnsi="宋体"/>
                <w:sz w:val="24"/>
              </w:rPr>
            </w:pPr>
          </w:p>
        </w:tc>
        <w:tc>
          <w:tcPr>
            <w:tcW w:w="3928" w:type="dxa"/>
            <w:tcBorders>
              <w:top w:val="single" w:color="auto" w:sz="4" w:space="0"/>
              <w:left w:val="single" w:color="auto" w:sz="4" w:space="0"/>
              <w:bottom w:val="single" w:color="auto" w:sz="4" w:space="0"/>
              <w:right w:val="single" w:color="auto" w:sz="4" w:space="0"/>
            </w:tcBorders>
          </w:tcPr>
          <w:p>
            <w:pPr>
              <w:pStyle w:val="297"/>
              <w:ind w:firstLine="480"/>
              <w:rPr>
                <w:kern w:val="2"/>
                <w:sz w:val="24"/>
                <w:szCs w:val="24"/>
              </w:rPr>
            </w:pPr>
          </w:p>
        </w:tc>
        <w:tc>
          <w:tcPr>
            <w:tcW w:w="1344" w:type="dxa"/>
            <w:tcBorders>
              <w:top w:val="single" w:color="auto" w:sz="4" w:space="0"/>
              <w:left w:val="single" w:color="auto" w:sz="4" w:space="0"/>
              <w:bottom w:val="single" w:color="auto" w:sz="4" w:space="0"/>
              <w:right w:val="single" w:color="auto" w:sz="4" w:space="0"/>
            </w:tcBorders>
          </w:tcPr>
          <w:p>
            <w:pPr>
              <w:snapToGrid w:val="0"/>
              <w:spacing w:line="360" w:lineRule="auto"/>
              <w:rPr>
                <w:rFonts w:ascii="宋体" w:hAnsi="宋体"/>
                <w:sz w:val="24"/>
                <w:szCs w:val="20"/>
              </w:rPr>
            </w:pPr>
          </w:p>
        </w:tc>
        <w:tc>
          <w:tcPr>
            <w:tcW w:w="2485" w:type="dxa"/>
            <w:tcBorders>
              <w:top w:val="single" w:color="auto" w:sz="4" w:space="0"/>
              <w:left w:val="single" w:color="auto" w:sz="4" w:space="0"/>
              <w:bottom w:val="single" w:color="auto" w:sz="4" w:space="0"/>
              <w:right w:val="single" w:color="auto" w:sz="4" w:space="0"/>
            </w:tcBorders>
          </w:tcPr>
          <w:p>
            <w:pPr>
              <w:snapToGrid w:val="0"/>
              <w:spacing w:line="360" w:lineRule="auto"/>
              <w:rPr>
                <w:rFonts w:ascii="宋体" w:hAnsi="宋体"/>
                <w:sz w:val="24"/>
                <w:szCs w:val="20"/>
              </w:rPr>
            </w:pPr>
          </w:p>
        </w:tc>
      </w:tr>
    </w:tbl>
    <w:p>
      <w:pPr>
        <w:pStyle w:val="6"/>
        <w:bidi w:val="0"/>
        <w:rPr>
          <w:rFonts w:hint="eastAsia" w:ascii="宋体" w:hAnsi="宋体" w:cs="宋体"/>
          <w:lang w:val="en-US" w:eastAsia="zh-CN"/>
        </w:rPr>
        <w:sectPr>
          <w:pgSz w:w="11906" w:h="16838"/>
          <w:pgMar w:top="1440" w:right="1701" w:bottom="1440" w:left="1701" w:header="851" w:footer="992" w:gutter="0"/>
          <w:pgBorders>
            <w:top w:val="none" w:sz="0" w:space="0"/>
            <w:left w:val="none" w:sz="0" w:space="0"/>
            <w:bottom w:val="none" w:sz="0" w:space="0"/>
            <w:right w:val="none" w:sz="0" w:space="0"/>
          </w:pgBorders>
          <w:cols w:space="720" w:num="1"/>
          <w:docGrid w:type="linesAndChars" w:linePitch="380" w:charSpace="0"/>
        </w:sectPr>
      </w:pPr>
    </w:p>
    <w:p>
      <w:pPr>
        <w:numPr>
          <w:ilvl w:val="0"/>
          <w:numId w:val="0"/>
        </w:numPr>
        <w:ind w:firstLine="480" w:firstLineChars="200"/>
        <w:rPr>
          <w:rFonts w:hint="eastAsia" w:ascii="宋体" w:hAnsi="宋体" w:eastAsia="宋体" w:cs="宋体"/>
          <w:b/>
          <w:bCs/>
          <w:color w:val="000000" w:themeColor="text1"/>
          <w:sz w:val="24"/>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（十）</w:t>
      </w:r>
      <w:r>
        <w:rPr>
          <w:rFonts w:hint="eastAsia" w:ascii="宋体" w:hAnsi="宋体" w:eastAsia="宋体" w:cs="宋体"/>
          <w:b/>
          <w:bCs/>
          <w:color w:val="000000" w:themeColor="text1"/>
          <w:sz w:val="24"/>
          <w14:textFill>
            <w14:solidFill>
              <w14:schemeClr w14:val="tx1"/>
            </w14:solidFill>
          </w14:textFill>
        </w:rPr>
        <w:t>资格证明文件：</w:t>
      </w:r>
    </w:p>
    <w:tbl>
      <w:tblPr>
        <w:tblStyle w:val="48"/>
        <w:tblW w:w="8704"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335"/>
        <w:gridCol w:w="4338"/>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64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序号</w:t>
            </w:r>
          </w:p>
        </w:tc>
        <w:tc>
          <w:tcPr>
            <w:tcW w:w="2335" w:type="dxa"/>
            <w:vAlign w:val="center"/>
          </w:tcPr>
          <w:p>
            <w:pPr>
              <w:ind w:left="344" w:leftChars="114" w:hanging="105" w:hangingChars="50"/>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评审因素</w:t>
            </w:r>
          </w:p>
        </w:tc>
        <w:tc>
          <w:tcPr>
            <w:tcW w:w="4338" w:type="dxa"/>
            <w:vAlign w:val="center"/>
          </w:tcPr>
          <w:p>
            <w:pPr>
              <w:ind w:left="2"/>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相关证明文件</w:t>
            </w:r>
          </w:p>
        </w:tc>
        <w:tc>
          <w:tcPr>
            <w:tcW w:w="1383" w:type="dxa"/>
            <w:vAlign w:val="center"/>
          </w:tcPr>
          <w:p>
            <w:pPr>
              <w:ind w:left="2"/>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投标人达到程度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64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1</w:t>
            </w:r>
          </w:p>
        </w:tc>
        <w:tc>
          <w:tcPr>
            <w:tcW w:w="2335" w:type="dxa"/>
            <w:vAlign w:val="center"/>
          </w:tcPr>
          <w:p>
            <w:pPr>
              <w:widowControl/>
              <w:adjustRightInd w:val="0"/>
              <w:snapToGrid w:val="0"/>
              <w:jc w:val="left"/>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lang w:val="en-US" w:eastAsia="zh-CN"/>
                <w14:textFill>
                  <w14:solidFill>
                    <w14:schemeClr w14:val="tx1"/>
                  </w14:solidFill>
                </w14:textFill>
              </w:rPr>
              <w:t>招标公告</w:t>
            </w:r>
            <w:r>
              <w:rPr>
                <w:rFonts w:hint="eastAsia" w:ascii="宋体" w:hAnsi="宋体" w:eastAsia="宋体" w:cs="宋体"/>
                <w:b/>
                <w:snapToGrid w:val="0"/>
                <w:color w:val="000000" w:themeColor="text1"/>
                <w:kern w:val="0"/>
                <w:szCs w:val="21"/>
                <w14:textFill>
                  <w14:solidFill>
                    <w14:schemeClr w14:val="tx1"/>
                  </w14:solidFill>
                </w14:textFill>
              </w:rPr>
              <w:t>第五条要求</w:t>
            </w:r>
          </w:p>
        </w:tc>
        <w:tc>
          <w:tcPr>
            <w:tcW w:w="4338" w:type="dxa"/>
            <w:vAlign w:val="center"/>
          </w:tcPr>
          <w:p>
            <w:pPr>
              <w:tabs>
                <w:tab w:val="left" w:pos="720"/>
              </w:tabs>
              <w:adjustRightInd w:val="0"/>
              <w:snapToGrid w:val="0"/>
              <w:jc w:val="left"/>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招标文件投标须知</w:t>
            </w:r>
            <w:r>
              <w:rPr>
                <w:rFonts w:hint="eastAsia" w:ascii="宋体" w:hAnsi="宋体" w:eastAsia="宋体" w:cs="宋体"/>
                <w:b/>
                <w:snapToGrid w:val="0"/>
                <w:color w:val="000000" w:themeColor="text1"/>
                <w:kern w:val="0"/>
                <w:szCs w:val="21"/>
                <w:lang w:val="en-US" w:eastAsia="zh-CN"/>
                <w14:textFill>
                  <w14:solidFill>
                    <w14:schemeClr w14:val="tx1"/>
                  </w14:solidFill>
                </w14:textFill>
              </w:rPr>
              <w:t>投标文件构成</w:t>
            </w:r>
            <w:r>
              <w:rPr>
                <w:rFonts w:hint="eastAsia" w:ascii="宋体" w:hAnsi="宋体" w:eastAsia="宋体" w:cs="宋体"/>
                <w:b/>
                <w:snapToGrid w:val="0"/>
                <w:color w:val="000000" w:themeColor="text1"/>
                <w:kern w:val="0"/>
                <w:szCs w:val="21"/>
                <w14:textFill>
                  <w14:solidFill>
                    <w14:schemeClr w14:val="tx1"/>
                  </w14:solidFill>
                </w14:textFill>
              </w:rPr>
              <w:t>如下资格证明文件规定的相关资料</w:t>
            </w:r>
          </w:p>
        </w:tc>
        <w:tc>
          <w:tcPr>
            <w:tcW w:w="1383" w:type="dxa"/>
            <w:vAlign w:val="center"/>
          </w:tcPr>
          <w:p>
            <w:pPr>
              <w:adjustRightInd w:val="0"/>
              <w:snapToGrid w:val="0"/>
              <w:jc w:val="left"/>
              <w:rPr>
                <w:rFonts w:hint="eastAsia" w:ascii="宋体" w:hAnsi="宋体" w:eastAsia="宋体" w:cs="宋体"/>
                <w:color w:val="000000" w:themeColor="text1"/>
                <w:szCs w:val="21"/>
                <w14:textFill>
                  <w14:solidFill>
                    <w14:schemeClr w14:val="tx1"/>
                  </w14:solidFill>
                </w14:textFill>
              </w:rPr>
            </w:pPr>
          </w:p>
        </w:tc>
      </w:tr>
    </w:tbl>
    <w:p>
      <w:pPr>
        <w:tabs>
          <w:tab w:val="left" w:pos="735"/>
        </w:tabs>
        <w:adjustRightInd w:val="0"/>
        <w:snapToGrid w:val="0"/>
        <w:spacing w:line="360" w:lineRule="auto"/>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snapToGrid w:val="0"/>
          <w:color w:val="000000" w:themeColor="text1"/>
          <w:kern w:val="0"/>
          <w:szCs w:val="21"/>
          <w14:textFill>
            <w14:solidFill>
              <w14:schemeClr w14:val="tx1"/>
            </w14:solidFill>
          </w14:textFill>
        </w:rPr>
        <w:t>注：证明材料附后。</w:t>
      </w:r>
    </w:p>
    <w:p>
      <w:pPr>
        <w:pStyle w:val="34"/>
        <w:rPr>
          <w:color w:val="000000" w:themeColor="text1"/>
          <w14:textFill>
            <w14:solidFill>
              <w14:schemeClr w14:val="tx1"/>
            </w14:solidFill>
          </w14:textFill>
        </w:rPr>
      </w:pPr>
      <w:r>
        <w:rPr>
          <w:color w:val="000000" w:themeColor="text1"/>
          <w14:textFill>
            <w14:solidFill>
              <w14:schemeClr w14:val="tx1"/>
            </w14:solidFill>
          </w14:textFill>
        </w:rPr>
        <w:br w:type="page"/>
      </w:r>
    </w:p>
    <w:p>
      <w:pPr>
        <w:pStyle w:val="45"/>
        <w:numPr>
          <w:ilvl w:val="0"/>
          <w:numId w:val="63"/>
        </w:numPr>
        <w:shd w:val="clear" w:color="auto" w:fill="FFFFFF"/>
        <w:tabs>
          <w:tab w:val="left" w:pos="630"/>
          <w:tab w:val="left" w:pos="840"/>
          <w:tab w:val="left" w:pos="1050"/>
        </w:tabs>
        <w:adjustRightInd w:val="0"/>
        <w:snapToGrid w:val="0"/>
        <w:spacing w:before="0" w:beforeAutospacing="0" w:after="0" w:afterAutospacing="0" w:line="360" w:lineRule="auto"/>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具有独立承担民事责任能力的证明材料；</w:t>
      </w:r>
    </w:p>
    <w:p>
      <w:pPr>
        <w:pStyle w:val="45"/>
        <w:tabs>
          <w:tab w:val="left" w:pos="630"/>
          <w:tab w:val="left" w:pos="840"/>
          <w:tab w:val="left" w:pos="1050"/>
        </w:tabs>
        <w:adjustRightInd w:val="0"/>
        <w:snapToGrid w:val="0"/>
        <w:spacing w:before="0" w:beforeAutospacing="0" w:after="0" w:afterAutospacing="0" w:line="360" w:lineRule="auto"/>
        <w:ind w:left="42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投标人须在投标文件中出具符合以下情况的证明材料复印件（五选一）：</w:t>
      </w:r>
    </w:p>
    <w:p>
      <w:pPr>
        <w:pStyle w:val="45"/>
        <w:numPr>
          <w:ilvl w:val="0"/>
          <w:numId w:val="64"/>
        </w:numPr>
        <w:shd w:val="clear" w:color="auto" w:fill="FFFFFF"/>
        <w:tabs>
          <w:tab w:val="left" w:pos="312"/>
        </w:tabs>
        <w:adjustRightInd w:val="0"/>
        <w:snapToGrid w:val="0"/>
        <w:spacing w:before="0" w:beforeAutospacing="0" w:after="0" w:afterAutospacing="0" w:line="360" w:lineRule="auto"/>
        <w:ind w:left="0" w:leftChars="0" w:firstLine="420" w:firstLineChars="20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如投标人是企业（包括合伙企业），提供在工商部门注册的有效“企业法人营业执照”或“营业执照”；</w:t>
      </w:r>
    </w:p>
    <w:p>
      <w:pPr>
        <w:pStyle w:val="45"/>
        <w:numPr>
          <w:ilvl w:val="0"/>
          <w:numId w:val="64"/>
        </w:numPr>
        <w:shd w:val="clear" w:color="auto" w:fill="FFFFFF"/>
        <w:tabs>
          <w:tab w:val="left" w:pos="312"/>
        </w:tabs>
        <w:adjustRightInd w:val="0"/>
        <w:snapToGrid w:val="0"/>
        <w:spacing w:before="0" w:beforeAutospacing="0" w:after="0" w:afterAutospacing="0" w:line="360" w:lineRule="auto"/>
        <w:ind w:left="0" w:leftChars="0" w:firstLine="420" w:firstLineChars="20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如投标人是事业单位，提供有效的“事业单位法人证书”；</w:t>
      </w:r>
    </w:p>
    <w:p>
      <w:pPr>
        <w:pStyle w:val="45"/>
        <w:numPr>
          <w:ilvl w:val="0"/>
          <w:numId w:val="64"/>
        </w:numPr>
        <w:shd w:val="clear" w:color="auto" w:fill="FFFFFF"/>
        <w:tabs>
          <w:tab w:val="left" w:pos="312"/>
        </w:tabs>
        <w:adjustRightInd w:val="0"/>
        <w:snapToGrid w:val="0"/>
        <w:spacing w:before="0" w:beforeAutospacing="0" w:after="0" w:afterAutospacing="0" w:line="360" w:lineRule="auto"/>
        <w:ind w:left="0" w:leftChars="0" w:firstLine="420" w:firstLineChars="20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如投标人是非企业专业服务机构的，提供执业许可证等证明文件；</w:t>
      </w:r>
    </w:p>
    <w:p>
      <w:pPr>
        <w:pStyle w:val="45"/>
        <w:numPr>
          <w:ilvl w:val="0"/>
          <w:numId w:val="64"/>
        </w:numPr>
        <w:shd w:val="clear" w:color="auto" w:fill="FFFFFF"/>
        <w:tabs>
          <w:tab w:val="left" w:pos="312"/>
        </w:tabs>
        <w:adjustRightInd w:val="0"/>
        <w:snapToGrid w:val="0"/>
        <w:spacing w:before="0" w:beforeAutospacing="0" w:after="0" w:afterAutospacing="0" w:line="360" w:lineRule="auto"/>
        <w:ind w:left="0" w:leftChars="0" w:firstLine="420" w:firstLineChars="20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如投标人是个体工商户，提供有效的“个体工商户营业执照”；</w:t>
      </w:r>
    </w:p>
    <w:p>
      <w:pPr>
        <w:pStyle w:val="45"/>
        <w:numPr>
          <w:ilvl w:val="0"/>
          <w:numId w:val="64"/>
        </w:numPr>
        <w:shd w:val="clear" w:color="auto" w:fill="FFFFFF"/>
        <w:tabs>
          <w:tab w:val="left" w:pos="312"/>
        </w:tabs>
        <w:adjustRightInd w:val="0"/>
        <w:snapToGrid w:val="0"/>
        <w:spacing w:before="0" w:beforeAutospacing="0" w:after="0" w:afterAutospacing="0" w:line="360" w:lineRule="auto"/>
        <w:ind w:left="0" w:leftChars="0" w:firstLine="420" w:firstLineChars="20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如投标人是自然人，提供有效的自然人身份证明（居民身份证正反面或公安机关出具的临时居民身份证正反面或港澳台胞证或护照）。</w:t>
      </w:r>
    </w:p>
    <w:p>
      <w:pPr>
        <w:pStyle w:val="45"/>
        <w:tabs>
          <w:tab w:val="left" w:pos="630"/>
          <w:tab w:val="left" w:pos="840"/>
          <w:tab w:val="left" w:pos="1050"/>
        </w:tabs>
        <w:adjustRightInd w:val="0"/>
        <w:snapToGrid w:val="0"/>
        <w:spacing w:before="0" w:beforeAutospacing="0" w:after="0" w:afterAutospacing="0" w:line="360" w:lineRule="auto"/>
        <w:ind w:firstLine="420" w:firstLineChars="200"/>
        <w:jc w:val="both"/>
        <w:rPr>
          <w:rFonts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投标活动，由单位负责人签署相关文件材料。</w:t>
      </w:r>
    </w:p>
    <w:p>
      <w:pPr>
        <w:pStyle w:val="45"/>
        <w:numPr>
          <w:ilvl w:val="0"/>
          <w:numId w:val="63"/>
        </w:numPr>
        <w:shd w:val="clear" w:color="auto" w:fill="FFFFFF"/>
        <w:tabs>
          <w:tab w:val="left" w:pos="630"/>
          <w:tab w:val="left" w:pos="840"/>
          <w:tab w:val="left" w:pos="1050"/>
        </w:tabs>
        <w:adjustRightInd w:val="0"/>
        <w:snapToGrid w:val="0"/>
        <w:spacing w:before="0" w:beforeAutospacing="0" w:after="0" w:afterAutospacing="0" w:line="360" w:lineRule="auto"/>
        <w:rPr>
          <w:rFonts w:ascii="宋体" w:hAnsi="宋体" w:eastAsia="宋体" w:cs="宋体"/>
          <w:b/>
          <w:bCs/>
          <w:color w:val="000000" w:themeColor="text1"/>
          <w:sz w:val="21"/>
          <w:szCs w:val="21"/>
          <w14:textFill>
            <w14:solidFill>
              <w14:schemeClr w14:val="tx1"/>
            </w14:solidFill>
          </w14:textFill>
        </w:rPr>
      </w:pPr>
      <w:r>
        <w:rPr>
          <w:snapToGrid w:val="0"/>
          <w:color w:val="000000" w:themeColor="text1"/>
          <w14:textFill>
            <w14:solidFill>
              <w14:schemeClr w14:val="tx1"/>
            </w14:solidFill>
          </w14:textFill>
        </w:rPr>
        <w:br w:type="page"/>
      </w:r>
      <w:r>
        <w:rPr>
          <w:rFonts w:hint="eastAsia" w:ascii="宋体" w:hAnsi="宋体" w:eastAsia="宋体" w:cs="宋体"/>
          <w:b/>
          <w:bCs/>
          <w:color w:val="000000" w:themeColor="text1"/>
          <w:sz w:val="21"/>
          <w:szCs w:val="21"/>
          <w14:textFill>
            <w14:solidFill>
              <w14:schemeClr w14:val="tx1"/>
            </w14:solidFill>
          </w14:textFill>
        </w:rPr>
        <w:t>符合参与招投标活动资格条件的承诺函：</w:t>
      </w:r>
    </w:p>
    <w:p>
      <w:pPr>
        <w:pStyle w:val="45"/>
        <w:adjustRightInd w:val="0"/>
        <w:snapToGrid w:val="0"/>
        <w:spacing w:before="0" w:beforeAutospacing="0" w:after="0" w:afterAutospacing="0" w:line="360" w:lineRule="auto"/>
        <w:ind w:left="420" w:leftChars="200"/>
        <w:rPr>
          <w:rFonts w:ascii="宋体" w:hAnsi="宋体" w:cs="宋体"/>
          <w:b/>
          <w:bCs/>
          <w:color w:val="000000" w:themeColor="text1"/>
          <w:sz w:val="21"/>
          <w:szCs w:val="21"/>
          <w14:textFill>
            <w14:solidFill>
              <w14:schemeClr w14:val="tx1"/>
            </w14:solidFill>
          </w14:textFill>
        </w:rPr>
      </w:pPr>
    </w:p>
    <w:p>
      <w:pPr>
        <w:pStyle w:val="45"/>
        <w:adjustRightInd w:val="0"/>
        <w:snapToGrid w:val="0"/>
        <w:spacing w:before="0" w:beforeAutospacing="0" w:after="0" w:afterAutospacing="0" w:line="360" w:lineRule="auto"/>
        <w:jc w:val="center"/>
        <w:rPr>
          <w:rFonts w:hint="eastAsia" w:ascii="宋体" w:hAnsi="宋体" w:eastAsia="宋体" w:cs="宋体"/>
          <w:b/>
          <w:bCs/>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承诺函</w:t>
      </w:r>
    </w:p>
    <w:p>
      <w:pPr>
        <w:spacing w:line="360" w:lineRule="auto"/>
        <w:rPr>
          <w:rFonts w:hint="eastAsia" w:ascii="宋体" w:hAnsi="宋体" w:eastAsia="宋体" w:cs="宋体"/>
          <w:color w:val="000000" w:themeColor="text1"/>
          <w:szCs w:val="21"/>
          <w:u w:val="single"/>
          <w14:textFill>
            <w14:solidFill>
              <w14:schemeClr w14:val="tx1"/>
            </w14:solidFill>
          </w14:textFill>
        </w:rPr>
      </w:pPr>
      <w:r>
        <w:rPr>
          <w:rFonts w:hint="eastAsia" w:ascii="宋体" w:hAnsi="宋体" w:eastAsia="宋体" w:cs="宋体"/>
          <w:color w:val="000000" w:themeColor="text1"/>
          <w:szCs w:val="21"/>
          <w:u w:val="single"/>
          <w14:textFill>
            <w14:solidFill>
              <w14:schemeClr w14:val="tx1"/>
            </w14:solidFill>
          </w14:textFill>
        </w:rPr>
        <w:t>（招标人）：</w:t>
      </w:r>
    </w:p>
    <w:p>
      <w:pPr>
        <w:pStyle w:val="45"/>
        <w:spacing w:before="0" w:beforeAutospacing="0" w:after="0" w:afterAutospacing="0" w:line="360" w:lineRule="auto"/>
        <w:ind w:firstLine="840" w:firstLineChars="400"/>
        <w:rPr>
          <w:rFonts w:hint="eastAsia" w:ascii="宋体" w:hAnsi="宋体" w:eastAsia="宋体" w:cs="宋体"/>
          <w:b/>
          <w:bCs/>
          <w:color w:val="000000" w:themeColor="text1"/>
          <w:sz w:val="21"/>
          <w:szCs w:val="21"/>
          <w14:textFill>
            <w14:solidFill>
              <w14:schemeClr w14:val="tx1"/>
            </w14:solidFill>
          </w14:textFill>
        </w:rPr>
      </w:pPr>
    </w:p>
    <w:p>
      <w:pPr>
        <w:pStyle w:val="45"/>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我方</w:t>
      </w:r>
      <w:r>
        <w:rPr>
          <w:rFonts w:hint="eastAsia" w:ascii="宋体" w:hAnsi="宋体" w:eastAsia="宋体" w:cs="宋体"/>
          <w:b/>
          <w:bCs/>
          <w:i/>
          <w:iCs/>
          <w:color w:val="000000" w:themeColor="text1"/>
          <w:sz w:val="21"/>
          <w:szCs w:val="21"/>
          <w:u w:val="single"/>
          <w14:textFill>
            <w14:solidFill>
              <w14:schemeClr w14:val="tx1"/>
            </w14:solidFill>
          </w14:textFill>
        </w:rPr>
        <w:t>（投标人全称）</w:t>
      </w:r>
      <w:r>
        <w:rPr>
          <w:rFonts w:hint="eastAsia" w:ascii="宋体" w:hAnsi="宋体" w:eastAsia="宋体" w:cs="宋体"/>
          <w:b/>
          <w:bCs/>
          <w:color w:val="000000" w:themeColor="text1"/>
          <w:sz w:val="21"/>
          <w:szCs w:val="21"/>
          <w14:textFill>
            <w14:solidFill>
              <w14:schemeClr w14:val="tx1"/>
            </w14:solidFill>
          </w14:textFill>
        </w:rPr>
        <w:t>参与</w:t>
      </w:r>
      <w:r>
        <w:rPr>
          <w:rFonts w:hint="eastAsia" w:ascii="宋体" w:hAnsi="宋体" w:eastAsia="宋体" w:cs="宋体"/>
          <w:b/>
          <w:bCs/>
          <w:i/>
          <w:iCs/>
          <w:color w:val="000000" w:themeColor="text1"/>
          <w:sz w:val="21"/>
          <w:szCs w:val="21"/>
          <w:u w:val="single"/>
          <w14:textFill>
            <w14:solidFill>
              <w14:schemeClr w14:val="tx1"/>
            </w14:solidFill>
          </w14:textFill>
        </w:rPr>
        <w:t xml:space="preserve">  （项目名称）   </w:t>
      </w:r>
      <w:r>
        <w:rPr>
          <w:rFonts w:hint="eastAsia" w:ascii="宋体" w:hAnsi="宋体" w:eastAsia="宋体" w:cs="宋体"/>
          <w:b/>
          <w:bCs/>
          <w:color w:val="000000" w:themeColor="text1"/>
          <w:sz w:val="21"/>
          <w:szCs w:val="21"/>
          <w14:textFill>
            <w14:solidFill>
              <w14:schemeClr w14:val="tx1"/>
            </w14:solidFill>
          </w14:textFill>
        </w:rPr>
        <w:t>招投标活动，针对投标资格所述条件做如下承诺：</w:t>
      </w:r>
    </w:p>
    <w:p>
      <w:pPr>
        <w:pStyle w:val="45"/>
        <w:numPr>
          <w:ilvl w:val="0"/>
          <w:numId w:val="65"/>
        </w:numPr>
        <w:shd w:val="clear" w:color="auto" w:fill="FFFFFF"/>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我方具有良好的商业信誉和健全的财务会计制度；</w:t>
      </w:r>
    </w:p>
    <w:p>
      <w:pPr>
        <w:pStyle w:val="45"/>
        <w:numPr>
          <w:ilvl w:val="0"/>
          <w:numId w:val="65"/>
        </w:numPr>
        <w:shd w:val="clear" w:color="auto" w:fill="FFFFFF"/>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我方具有履行本项目合同所必需的设备和专业技术能力；</w:t>
      </w:r>
    </w:p>
    <w:p>
      <w:pPr>
        <w:pStyle w:val="45"/>
        <w:numPr>
          <w:ilvl w:val="0"/>
          <w:numId w:val="65"/>
        </w:numPr>
        <w:shd w:val="clear" w:color="auto" w:fill="FFFFFF"/>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我方没有缴纳税收和社会保障等方面的失信记录；</w:t>
      </w:r>
    </w:p>
    <w:p>
      <w:pPr>
        <w:pStyle w:val="45"/>
        <w:numPr>
          <w:ilvl w:val="0"/>
          <w:numId w:val="65"/>
        </w:numPr>
        <w:shd w:val="clear" w:color="auto" w:fill="FFFFFF"/>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我方在参加本次招投标活动前三年内，在经营活动中没有重大违法记录（没有因违法经营受到刑事处罚，没有被责令停产停业、被吊销许可证或者执照、被处以较大数额罚款等行政处罚，没有因违法经营被禁止参加招投标活动的期限未满情形）</w:t>
      </w:r>
    </w:p>
    <w:p>
      <w:pPr>
        <w:pStyle w:val="45"/>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我方对上述承诺内容的真实性负责。如有虚假，将依法承担相应责任。</w:t>
      </w:r>
    </w:p>
    <w:p>
      <w:pPr>
        <w:spacing w:line="360" w:lineRule="auto"/>
        <w:ind w:firstLine="1680" w:firstLineChars="800"/>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投标人(盖公章或电子签章或合同章)：</w:t>
      </w:r>
    </w:p>
    <w:p>
      <w:pPr>
        <w:spacing w:line="360" w:lineRule="auto"/>
        <w:ind w:firstLine="1680" w:firstLineChars="800"/>
        <w:rPr>
          <w:rFonts w:hint="eastAsia" w:ascii="宋体" w:hAnsi="宋体" w:eastAsia="宋体" w:cs="宋体"/>
          <w:b/>
          <w:color w:val="000000" w:themeColor="text1"/>
          <w:szCs w:val="21"/>
          <w14:textFill>
            <w14:solidFill>
              <w14:schemeClr w14:val="tx1"/>
            </w14:solidFill>
          </w14:textFill>
        </w:rPr>
      </w:pPr>
    </w:p>
    <w:p>
      <w:pPr>
        <w:spacing w:line="360" w:lineRule="auto"/>
        <w:rPr>
          <w:rFonts w:hint="eastAsia" w:ascii="宋体" w:hAnsi="宋体" w:eastAsia="宋体" w:cs="宋体"/>
          <w:b/>
          <w:color w:val="000000" w:themeColor="text1"/>
          <w:szCs w:val="21"/>
          <w14:textFill>
            <w14:solidFill>
              <w14:schemeClr w14:val="tx1"/>
            </w14:solidFill>
          </w14:textFill>
        </w:rPr>
      </w:pPr>
      <w:r>
        <w:rPr>
          <w:rFonts w:hint="eastAsia" w:ascii="宋体" w:hAnsi="宋体" w:eastAsia="宋体" w:cs="宋体"/>
          <w:b/>
          <w:color w:val="000000" w:themeColor="text1"/>
          <w:szCs w:val="21"/>
          <w14:textFill>
            <w14:solidFill>
              <w14:schemeClr w14:val="tx1"/>
            </w14:solidFill>
          </w14:textFill>
        </w:rPr>
        <w:t xml:space="preserve">                日      期：</w:t>
      </w:r>
    </w:p>
    <w:p>
      <w:pPr>
        <w:pStyle w:val="45"/>
        <w:spacing w:before="0" w:beforeAutospacing="0" w:after="0" w:afterAutospacing="0" w:line="360" w:lineRule="auto"/>
        <w:ind w:firstLine="480" w:firstLineChars="200"/>
        <w:rPr>
          <w:rFonts w:hint="eastAsia" w:ascii="宋体" w:hAnsi="宋体" w:eastAsia="宋体" w:cs="宋体"/>
          <w:color w:val="000000" w:themeColor="text1"/>
          <w14:textFill>
            <w14:solidFill>
              <w14:schemeClr w14:val="tx1"/>
            </w14:solidFill>
          </w14:textFill>
        </w:rPr>
      </w:pPr>
    </w:p>
    <w:p>
      <w:pPr>
        <w:pStyle w:val="45"/>
        <w:spacing w:before="0" w:beforeAutospacing="0" w:after="0" w:afterAutospacing="0" w:line="360" w:lineRule="auto"/>
        <w:ind w:firstLine="420"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特别说明：已完成信用修复的“缴纳税收和社会保障等方面的失信记录”不包含在上述第3点所述情形内（属于重大违法纪录情形的除外）。</w:t>
      </w:r>
    </w:p>
    <w:p>
      <w:pPr>
        <w:pStyle w:val="34"/>
        <w:rPr>
          <w:color w:val="000000" w:themeColor="text1"/>
          <w:sz w:val="24"/>
          <w14:textFill>
            <w14:solidFill>
              <w14:schemeClr w14:val="tx1"/>
            </w14:solidFill>
          </w14:textFill>
        </w:rPr>
      </w:pPr>
    </w:p>
    <w:p>
      <w:pPr>
        <w:numPr>
          <w:ilvl w:val="0"/>
          <w:numId w:val="0"/>
        </w:numPr>
        <w:rPr>
          <w:rFonts w:hint="eastAsia" w:ascii="EYInterstate Light" w:hAnsi="EYInterstate Light" w:eastAsia="EYInterstate Light" w:cs="Tahoma"/>
          <w:b/>
          <w:bCs/>
          <w:color w:val="000000" w:themeColor="text1"/>
          <w:kern w:val="2"/>
          <w:sz w:val="24"/>
          <w:szCs w:val="24"/>
          <w:lang w:val="zh-CN" w:eastAsia="zh-CN" w:bidi="ar-SA"/>
          <w14:textFill>
            <w14:solidFill>
              <w14:schemeClr w14:val="tx1"/>
            </w14:solidFill>
          </w14:textFill>
        </w:rPr>
        <w:sectPr>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bookmarkStart w:id="628" w:name="_Toc90407526"/>
      <w:bookmarkStart w:id="629" w:name="_Toc70627000"/>
      <w:bookmarkStart w:id="630" w:name="_Toc46421289"/>
      <w:bookmarkStart w:id="631" w:name="_Toc85736552"/>
      <w:bookmarkStart w:id="632" w:name="_Toc53246097"/>
      <w:bookmarkStart w:id="633" w:name="_Toc226969363"/>
      <w:bookmarkStart w:id="634" w:name="_Toc227057969"/>
      <w:bookmarkStart w:id="635" w:name="_Toc85736458"/>
      <w:bookmarkStart w:id="636" w:name="_Toc53245906"/>
    </w:p>
    <w:p>
      <w:pPr>
        <w:numPr>
          <w:ilvl w:val="0"/>
          <w:numId w:val="66"/>
        </w:numPr>
        <w:rPr>
          <w:rFonts w:hint="eastAsia" w:ascii="宋体" w:hAnsi="宋体" w:eastAsia="宋体" w:cs="宋体"/>
          <w:b/>
          <w:bCs/>
          <w:color w:val="000000" w:themeColor="text1"/>
          <w:kern w:val="0"/>
          <w:sz w:val="21"/>
          <w:szCs w:val="21"/>
          <w:lang w:val="en-US" w:eastAsia="zh-CN" w:bidi="ar-SA"/>
          <w14:textFill>
            <w14:solidFill>
              <w14:schemeClr w14:val="tx1"/>
            </w14:solidFill>
          </w14:textFill>
        </w:rPr>
      </w:pPr>
      <w:r>
        <w:rPr>
          <w:rFonts w:hint="eastAsia" w:ascii="宋体" w:hAnsi="宋体" w:eastAsia="宋体" w:cs="宋体"/>
          <w:b/>
          <w:bCs/>
          <w:color w:val="000000" w:themeColor="text1"/>
          <w:kern w:val="0"/>
          <w:sz w:val="21"/>
          <w:szCs w:val="21"/>
          <w:lang w:val="zh-CN" w:eastAsia="zh-CN" w:bidi="ar-SA"/>
          <w14:textFill>
            <w14:solidFill>
              <w14:schemeClr w14:val="tx1"/>
            </w14:solidFill>
          </w14:textFill>
        </w:rPr>
        <w:t>商业信誉</w:t>
      </w:r>
      <w:r>
        <w:rPr>
          <w:rFonts w:hint="eastAsia" w:ascii="宋体" w:hAnsi="宋体" w:eastAsia="宋体" w:cs="宋体"/>
          <w:b/>
          <w:bCs/>
          <w:color w:val="000000" w:themeColor="text1"/>
          <w:kern w:val="0"/>
          <w:sz w:val="21"/>
          <w:szCs w:val="21"/>
          <w:lang w:val="en-US" w:eastAsia="zh-CN" w:bidi="ar-SA"/>
          <w14:textFill>
            <w14:solidFill>
              <w14:schemeClr w14:val="tx1"/>
            </w14:solidFill>
          </w14:textFill>
        </w:rPr>
        <w:t>:</w:t>
      </w:r>
    </w:p>
    <w:p>
      <w:pPr>
        <w:pStyle w:val="2"/>
        <w:numPr>
          <w:ilvl w:val="0"/>
          <w:numId w:val="0"/>
        </w:numPr>
        <w:rPr>
          <w:rFonts w:hint="default" w:ascii="Tahoma" w:hAnsi="Tahoma" w:eastAsia="EYInterstate Light" w:cs="Tahoma"/>
          <w:b w:val="0"/>
          <w:bCs w:val="0"/>
          <w:kern w:val="2"/>
          <w:sz w:val="28"/>
          <w:szCs w:val="20"/>
          <w:lang w:val="en-US" w:eastAsia="zh-CN" w:bidi="ar-SA"/>
        </w:rPr>
      </w:pPr>
    </w:p>
    <w:p>
      <w:pPr>
        <w:numPr>
          <w:ilvl w:val="0"/>
          <w:numId w:val="0"/>
        </w:numPr>
        <w:rPr>
          <w:rFonts w:hint="default" w:ascii="宋体" w:hAnsi="宋体" w:eastAsia="宋体" w:cs="宋体"/>
          <w:b/>
          <w:bCs/>
          <w:color w:val="000000" w:themeColor="text1"/>
          <w:kern w:val="2"/>
          <w:sz w:val="24"/>
          <w:szCs w:val="24"/>
          <w:lang w:val="en-US" w:eastAsia="zh-CN" w:bidi="ar-SA"/>
          <w14:textFill>
            <w14:solidFill>
              <w14:schemeClr w14:val="tx1"/>
            </w14:solidFill>
          </w14:textFill>
        </w:rPr>
      </w:pPr>
      <w:r>
        <w:rPr>
          <w:rFonts w:hint="default" w:ascii="宋体" w:hAnsi="宋体" w:eastAsia="宋体" w:cs="宋体"/>
          <w:b/>
          <w:bCs/>
          <w:color w:val="000000" w:themeColor="text1"/>
          <w:kern w:val="2"/>
          <w:sz w:val="24"/>
          <w:szCs w:val="24"/>
          <w:lang w:val="en-US" w:eastAsia="zh-CN" w:bidi="ar-SA"/>
          <w14:textFill>
            <w14:solidFill>
              <w14:schemeClr w14:val="tx1"/>
            </w14:solidFill>
          </w14:textFill>
        </w:rPr>
        <w:t>①</w:t>
      </w: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信用中国</w:t>
      </w:r>
      <w:r>
        <w:rPr>
          <w:rFonts w:hint="default" w:ascii="宋体" w:hAnsi="宋体" w:eastAsia="宋体" w:cs="宋体"/>
          <w:b/>
          <w:bCs/>
          <w:color w:val="000000" w:themeColor="text1"/>
          <w:kern w:val="2"/>
          <w:sz w:val="24"/>
          <w:szCs w:val="24"/>
          <w:lang w:val="en-US" w:eastAsia="zh-CN" w:bidi="ar-SA"/>
          <w14:textFill>
            <w14:solidFill>
              <w14:schemeClr w14:val="tx1"/>
            </w14:solidFill>
          </w14:textFill>
        </w:rPr>
        <w:t>查询记录</w:t>
      </w:r>
    </w:p>
    <w:p>
      <w:pPr>
        <w:numPr>
          <w:ilvl w:val="0"/>
          <w:numId w:val="0"/>
        </w:numPr>
        <w:rPr>
          <w:rFonts w:hint="default" w:ascii="宋体" w:hAnsi="宋体" w:eastAsia="宋体" w:cs="宋体"/>
          <w:b/>
          <w:bCs/>
          <w:color w:val="000000" w:themeColor="text1"/>
          <w:kern w:val="2"/>
          <w:sz w:val="24"/>
          <w:szCs w:val="24"/>
          <w:lang w:val="en-US" w:eastAsia="zh-CN" w:bidi="ar-SA"/>
          <w14:textFill>
            <w14:solidFill>
              <w14:schemeClr w14:val="tx1"/>
            </w14:solidFill>
          </w14:textFill>
        </w:rPr>
      </w:pPr>
    </w:p>
    <w:p>
      <w:pPr>
        <w:numPr>
          <w:ilvl w:val="0"/>
          <w:numId w:val="0"/>
        </w:numPr>
        <w:rPr>
          <w:rFonts w:hint="default" w:ascii="宋体" w:hAnsi="宋体" w:eastAsia="宋体" w:cs="宋体"/>
          <w:b/>
          <w:bCs/>
          <w:color w:val="000000" w:themeColor="text1"/>
          <w:kern w:val="2"/>
          <w:sz w:val="24"/>
          <w:szCs w:val="24"/>
          <w:lang w:val="en-US" w:eastAsia="zh-CN" w:bidi="ar-SA"/>
          <w14:textFill>
            <w14:solidFill>
              <w14:schemeClr w14:val="tx1"/>
            </w14:solidFill>
          </w14:textFill>
        </w:rPr>
      </w:pPr>
      <w:r>
        <w:rPr>
          <w:rFonts w:hint="default" w:ascii="宋体" w:hAnsi="宋体" w:eastAsia="宋体" w:cs="宋体"/>
          <w:b/>
          <w:bCs/>
          <w:color w:val="000000" w:themeColor="text1"/>
          <w:kern w:val="2"/>
          <w:sz w:val="24"/>
          <w:szCs w:val="24"/>
          <w:lang w:val="en-US" w:eastAsia="zh-CN" w:bidi="ar-SA"/>
          <w14:textFill>
            <w14:solidFill>
              <w14:schemeClr w14:val="tx1"/>
            </w14:solidFill>
          </w14:textFill>
        </w:rPr>
        <w:t>②旅行业务经营许可证</w:t>
      </w:r>
    </w:p>
    <w:p>
      <w:pPr>
        <w:numPr>
          <w:ilvl w:val="0"/>
          <w:numId w:val="0"/>
        </w:numPr>
        <w:rPr>
          <w:rFonts w:hint="default" w:ascii="宋体" w:hAnsi="宋体" w:eastAsia="宋体" w:cs="宋体"/>
          <w:b/>
          <w:bCs/>
          <w:color w:val="000000" w:themeColor="text1"/>
          <w:kern w:val="2"/>
          <w:sz w:val="24"/>
          <w:szCs w:val="24"/>
          <w:lang w:val="en-US" w:eastAsia="zh-CN" w:bidi="ar-SA"/>
          <w14:textFill>
            <w14:solidFill>
              <w14:schemeClr w14:val="tx1"/>
            </w14:solidFill>
          </w14:textFill>
        </w:rPr>
      </w:pPr>
    </w:p>
    <w:p>
      <w:pPr>
        <w:numPr>
          <w:ilvl w:val="0"/>
          <w:numId w:val="0"/>
        </w:numPr>
        <w:rPr>
          <w:rFonts w:hint="default" w:ascii="宋体" w:hAnsi="宋体" w:eastAsia="宋体" w:cs="宋体"/>
          <w:b/>
          <w:bCs/>
          <w:color w:val="000000" w:themeColor="text1"/>
          <w:kern w:val="2"/>
          <w:sz w:val="24"/>
          <w:szCs w:val="24"/>
          <w:lang w:val="en-US" w:eastAsia="zh-CN" w:bidi="ar-SA"/>
          <w14:textFill>
            <w14:solidFill>
              <w14:schemeClr w14:val="tx1"/>
            </w14:solidFill>
          </w14:textFill>
        </w:rPr>
      </w:pPr>
      <w:r>
        <w:rPr>
          <w:rFonts w:hint="default" w:ascii="宋体" w:hAnsi="宋体" w:eastAsia="宋体" w:cs="宋体"/>
          <w:b/>
          <w:bCs/>
          <w:color w:val="000000" w:themeColor="text1"/>
          <w:kern w:val="2"/>
          <w:sz w:val="24"/>
          <w:szCs w:val="24"/>
          <w:lang w:val="en-US" w:eastAsia="zh-CN" w:bidi="ar-SA"/>
          <w14:textFill>
            <w14:solidFill>
              <w14:schemeClr w14:val="tx1"/>
            </w14:solidFill>
          </w14:textFill>
        </w:rPr>
        <w:t>③税收及设保缴纳证明</w:t>
      </w:r>
    </w:p>
    <w:p>
      <w:pPr>
        <w:numPr>
          <w:ilvl w:val="0"/>
          <w:numId w:val="0"/>
        </w:numPr>
        <w:rPr>
          <w:rFonts w:hint="default" w:ascii="宋体" w:hAnsi="宋体" w:eastAsia="宋体" w:cs="宋体"/>
          <w:b/>
          <w:bCs/>
          <w:color w:val="000000" w:themeColor="text1"/>
          <w:kern w:val="2"/>
          <w:sz w:val="24"/>
          <w:szCs w:val="24"/>
          <w:lang w:val="en-US" w:eastAsia="zh-CN" w:bidi="ar-SA"/>
          <w14:textFill>
            <w14:solidFill>
              <w14:schemeClr w14:val="tx1"/>
            </w14:solidFill>
          </w14:textFill>
        </w:rPr>
      </w:pPr>
    </w:p>
    <w:p>
      <w:pPr>
        <w:numPr>
          <w:ilvl w:val="0"/>
          <w:numId w:val="0"/>
        </w:numPr>
        <w:rPr>
          <w:rFonts w:hint="default" w:ascii="宋体" w:hAnsi="宋体" w:eastAsia="宋体" w:cs="宋体"/>
          <w:b/>
          <w:bCs/>
          <w:color w:val="000000" w:themeColor="text1"/>
          <w:kern w:val="2"/>
          <w:sz w:val="24"/>
          <w:szCs w:val="24"/>
          <w:lang w:val="en-US" w:eastAsia="zh-CN" w:bidi="ar-SA"/>
          <w14:textFill>
            <w14:solidFill>
              <w14:schemeClr w14:val="tx1"/>
            </w14:solidFill>
          </w14:textFill>
        </w:rPr>
        <w:sectPr>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r>
        <w:rPr>
          <w:rFonts w:hint="default" w:ascii="宋体" w:hAnsi="宋体" w:eastAsia="宋体" w:cs="宋体"/>
          <w:b/>
          <w:bCs/>
          <w:color w:val="000000" w:themeColor="text1"/>
          <w:kern w:val="2"/>
          <w:sz w:val="24"/>
          <w:szCs w:val="24"/>
          <w:lang w:val="en-US" w:eastAsia="zh-CN" w:bidi="ar-SA"/>
          <w14:textFill>
            <w14:solidFill>
              <w14:schemeClr w14:val="tx1"/>
            </w14:solidFill>
          </w14:textFill>
        </w:rPr>
        <w:t>④企业财务状况或银行资信证明</w:t>
      </w:r>
    </w:p>
    <w:p>
      <w:pPr>
        <w:numPr>
          <w:ilvl w:val="0"/>
          <w:numId w:val="0"/>
        </w:numPr>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⑤合同条款偏离表</w:t>
      </w:r>
      <w:bookmarkEnd w:id="582"/>
      <w:bookmarkEnd w:id="583"/>
      <w:bookmarkEnd w:id="584"/>
      <w:bookmarkEnd w:id="628"/>
      <w:bookmarkEnd w:id="629"/>
      <w:bookmarkEnd w:id="630"/>
      <w:bookmarkEnd w:id="631"/>
      <w:bookmarkEnd w:id="632"/>
      <w:bookmarkEnd w:id="633"/>
      <w:bookmarkEnd w:id="634"/>
      <w:bookmarkEnd w:id="635"/>
      <w:bookmarkEnd w:id="636"/>
    </w:p>
    <w:p>
      <w:pPr>
        <w:jc w:val="center"/>
        <w:rPr>
          <w:rFonts w:hint="eastAsia" w:ascii="宋体" w:hAnsi="宋体" w:eastAsia="宋体" w:cs="宋体"/>
          <w:color w:val="000000" w:themeColor="text1"/>
          <w:sz w:val="24"/>
          <w14:textFill>
            <w14:solidFill>
              <w14:schemeClr w14:val="tx1"/>
            </w14:solidFill>
          </w14:textFill>
        </w:rPr>
      </w:pPr>
      <w:bookmarkStart w:id="637" w:name="_Toc106527641"/>
    </w:p>
    <w:bookmarkEnd w:id="637"/>
    <w:p>
      <w:pPr>
        <w:jc w:val="center"/>
        <w:rPr>
          <w:rFonts w:hint="eastAsia" w:ascii="宋体" w:hAnsi="宋体" w:eastAsia="宋体" w:cs="宋体"/>
          <w:b/>
          <w:color w:val="000000" w:themeColor="text1"/>
          <w:sz w:val="24"/>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合同条款偏离表</w:t>
      </w:r>
    </w:p>
    <w:p>
      <w:pPr>
        <w:jc w:val="center"/>
        <w:rPr>
          <w:rFonts w:hint="eastAsia" w:ascii="宋体" w:hAnsi="宋体" w:eastAsia="宋体" w:cs="宋体"/>
          <w:b/>
          <w:color w:val="000000" w:themeColor="text1"/>
          <w:sz w:val="24"/>
          <w14:textFill>
            <w14:solidFill>
              <w14:schemeClr w14:val="tx1"/>
            </w14:solidFill>
          </w14:textFill>
        </w:rPr>
      </w:pPr>
    </w:p>
    <w:p>
      <w:pPr>
        <w:spacing w:after="12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招标编号：</w:t>
      </w:r>
    </w:p>
    <w:tbl>
      <w:tblPr>
        <w:tblStyle w:val="48"/>
        <w:tblW w:w="8455" w:type="dxa"/>
        <w:tblInd w:w="42"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86"/>
        <w:gridCol w:w="1750"/>
        <w:gridCol w:w="2370"/>
        <w:gridCol w:w="2268"/>
        <w:gridCol w:w="1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686"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序号</w:t>
            </w:r>
          </w:p>
        </w:tc>
        <w:tc>
          <w:tcPr>
            <w:tcW w:w="1750"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招标文件条目号</w:t>
            </w:r>
          </w:p>
        </w:tc>
        <w:tc>
          <w:tcPr>
            <w:tcW w:w="2370"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招标文件的合同条款</w:t>
            </w:r>
          </w:p>
        </w:tc>
        <w:tc>
          <w:tcPr>
            <w:tcW w:w="226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投标文件的合同条款</w:t>
            </w:r>
          </w:p>
        </w:tc>
        <w:tc>
          <w:tcPr>
            <w:tcW w:w="1381"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vAlign w:val="center"/>
          </w:tcPr>
          <w:p>
            <w:pPr>
              <w:jc w:val="center"/>
              <w:rPr>
                <w:rFonts w:hint="eastAsia" w:ascii="EYInterstate Light" w:hAnsi="EYInterstate Light" w:eastAsia="EYInterstate Light"/>
                <w:color w:val="000000" w:themeColor="text1"/>
                <w:szCs w:val="21"/>
                <w:lang w:val="en-US" w:eastAsia="zh-CN"/>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t>1</w:t>
            </w:r>
          </w:p>
        </w:tc>
        <w:tc>
          <w:tcPr>
            <w:tcW w:w="1750" w:type="dxa"/>
            <w:vAlign w:val="center"/>
          </w:tcPr>
          <w:p>
            <w:pPr>
              <w:jc w:val="center"/>
              <w:rPr>
                <w:rFonts w:ascii="EYInterstate Light" w:hAnsi="EYInterstate Light"/>
                <w:color w:val="000000" w:themeColor="text1"/>
                <w:szCs w:val="21"/>
                <w14:textFill>
                  <w14:solidFill>
                    <w14:schemeClr w14:val="tx1"/>
                  </w14:solidFill>
                </w14:textFill>
              </w:rPr>
            </w:pPr>
          </w:p>
        </w:tc>
        <w:tc>
          <w:tcPr>
            <w:tcW w:w="2370" w:type="dxa"/>
            <w:vAlign w:val="center"/>
          </w:tcPr>
          <w:p>
            <w:pPr>
              <w:jc w:val="center"/>
              <w:rPr>
                <w:rFonts w:ascii="EYInterstate Light" w:hAnsi="EYInterstate Light"/>
                <w:color w:val="000000" w:themeColor="text1"/>
                <w:szCs w:val="21"/>
                <w14:textFill>
                  <w14:solidFill>
                    <w14:schemeClr w14:val="tx1"/>
                  </w14:solidFill>
                </w14:textFill>
              </w:rPr>
            </w:pPr>
          </w:p>
        </w:tc>
        <w:tc>
          <w:tcPr>
            <w:tcW w:w="2268" w:type="dxa"/>
            <w:vAlign w:val="center"/>
          </w:tcPr>
          <w:p>
            <w:pPr>
              <w:jc w:val="center"/>
              <w:rPr>
                <w:rFonts w:ascii="EYInterstate Light" w:hAnsi="EYInterstate Light"/>
                <w:color w:val="000000" w:themeColor="text1"/>
                <w:szCs w:val="21"/>
                <w14:textFill>
                  <w14:solidFill>
                    <w14:schemeClr w14:val="tx1"/>
                  </w14:solidFill>
                </w14:textFill>
              </w:rPr>
            </w:pPr>
          </w:p>
        </w:tc>
        <w:tc>
          <w:tcPr>
            <w:tcW w:w="1381" w:type="dxa"/>
            <w:vAlign w:val="center"/>
          </w:tcPr>
          <w:p>
            <w:pPr>
              <w:jc w:val="center"/>
              <w:rPr>
                <w:rFonts w:hint="eastAsia"/>
                <w:szCs w:val="21"/>
                <w:lang w:val="en-US" w:eastAsia="zh-CN"/>
              </w:rPr>
            </w:pPr>
            <w:r>
              <w:rPr>
                <w:szCs w:val="21"/>
              </w:rPr>
              <w:sym w:font="Wingdings" w:char="00A8"/>
            </w:r>
            <w:r>
              <w:rPr>
                <w:rFonts w:hint="eastAsia"/>
                <w:szCs w:val="21"/>
                <w:lang w:val="en-US" w:eastAsia="zh-CN"/>
              </w:rPr>
              <w:t>正偏离</w:t>
            </w:r>
          </w:p>
          <w:p>
            <w:pPr>
              <w:pStyle w:val="2"/>
              <w:jc w:val="center"/>
              <w:rPr>
                <w:rFonts w:hint="default"/>
                <w:lang w:val="en-US" w:eastAsia="zh-CN"/>
              </w:rPr>
            </w:pPr>
            <w:r>
              <w:rPr>
                <w:rFonts w:hint="eastAsia"/>
                <w:sz w:val="21"/>
                <w:szCs w:val="21"/>
                <w:lang w:val="en-US" w:eastAsia="zh-CN"/>
              </w:rPr>
              <w:sym w:font="Wingdings" w:char="00A8"/>
            </w:r>
            <w:r>
              <w:rPr>
                <w:rFonts w:hint="eastAsia"/>
                <w:sz w:val="21"/>
                <w:szCs w:val="21"/>
                <w:lang w:val="en-US" w:eastAsia="zh-CN"/>
              </w:rPr>
              <w:t>负偏离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vAlign w:val="center"/>
          </w:tcPr>
          <w:p>
            <w:pPr>
              <w:jc w:val="center"/>
              <w:rPr>
                <w:rFonts w:hint="eastAsia" w:ascii="EYInterstate Light" w:hAnsi="EYInterstate Light" w:eastAsia="EYInterstate Light"/>
                <w:color w:val="000000" w:themeColor="text1"/>
                <w:szCs w:val="21"/>
                <w:lang w:val="en-US" w:eastAsia="zh-CN"/>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t>2</w:t>
            </w:r>
          </w:p>
        </w:tc>
        <w:tc>
          <w:tcPr>
            <w:tcW w:w="1750" w:type="dxa"/>
            <w:vAlign w:val="center"/>
          </w:tcPr>
          <w:p>
            <w:pPr>
              <w:jc w:val="center"/>
              <w:rPr>
                <w:rFonts w:ascii="EYInterstate Light" w:hAnsi="EYInterstate Light"/>
                <w:color w:val="000000" w:themeColor="text1"/>
                <w:szCs w:val="21"/>
                <w14:textFill>
                  <w14:solidFill>
                    <w14:schemeClr w14:val="tx1"/>
                  </w14:solidFill>
                </w14:textFill>
              </w:rPr>
            </w:pPr>
          </w:p>
        </w:tc>
        <w:tc>
          <w:tcPr>
            <w:tcW w:w="2370" w:type="dxa"/>
            <w:vAlign w:val="center"/>
          </w:tcPr>
          <w:p>
            <w:pPr>
              <w:jc w:val="center"/>
              <w:rPr>
                <w:rFonts w:ascii="EYInterstate Light" w:hAnsi="EYInterstate Light"/>
                <w:color w:val="000000" w:themeColor="text1"/>
                <w:szCs w:val="21"/>
                <w14:textFill>
                  <w14:solidFill>
                    <w14:schemeClr w14:val="tx1"/>
                  </w14:solidFill>
                </w14:textFill>
              </w:rPr>
            </w:pPr>
          </w:p>
        </w:tc>
        <w:tc>
          <w:tcPr>
            <w:tcW w:w="2268" w:type="dxa"/>
            <w:vAlign w:val="center"/>
          </w:tcPr>
          <w:p>
            <w:pPr>
              <w:jc w:val="center"/>
              <w:rPr>
                <w:rFonts w:ascii="EYInterstate Light" w:hAnsi="EYInterstate Light"/>
                <w:color w:val="000000" w:themeColor="text1"/>
                <w:szCs w:val="21"/>
                <w14:textFill>
                  <w14:solidFill>
                    <w14:schemeClr w14:val="tx1"/>
                  </w14:solidFill>
                </w14:textFill>
              </w:rPr>
            </w:pPr>
          </w:p>
        </w:tc>
        <w:tc>
          <w:tcPr>
            <w:tcW w:w="1381" w:type="dxa"/>
            <w:vAlign w:val="center"/>
          </w:tcPr>
          <w:p>
            <w:pPr>
              <w:jc w:val="center"/>
              <w:rPr>
                <w:rFonts w:hint="eastAsia" w:ascii="EYInterstate Light" w:hAnsi="EYInterstate Light"/>
                <w:color w:val="000000" w:themeColor="text1"/>
                <w:szCs w:val="21"/>
                <w:lang w:val="en-US" w:eastAsia="zh-CN"/>
                <w14:textFill>
                  <w14:solidFill>
                    <w14:schemeClr w14:val="tx1"/>
                  </w14:solidFill>
                </w14:textFill>
              </w:rPr>
            </w:pPr>
            <w:r>
              <w:rPr>
                <w:rFonts w:ascii="EYInterstate Light" w:hAnsi="EYInterstate Light"/>
                <w:color w:val="000000" w:themeColor="text1"/>
                <w:szCs w:val="21"/>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正偏离</w:t>
            </w:r>
          </w:p>
          <w:p>
            <w:pPr>
              <w:jc w:val="center"/>
              <w:rPr>
                <w:rFonts w:ascii="EYInterstate Light" w:hAnsi="EYInterstate Light"/>
                <w:color w:val="000000" w:themeColor="text1"/>
                <w:szCs w:val="21"/>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负偏离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vAlign w:val="center"/>
          </w:tcPr>
          <w:p>
            <w:pPr>
              <w:jc w:val="center"/>
              <w:rPr>
                <w:rFonts w:ascii="EYInterstate Light" w:hAnsi="EYInterstate Light"/>
                <w:color w:val="000000" w:themeColor="text1"/>
                <w:szCs w:val="21"/>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t>3</w:t>
            </w:r>
          </w:p>
        </w:tc>
        <w:tc>
          <w:tcPr>
            <w:tcW w:w="1750" w:type="dxa"/>
            <w:vAlign w:val="center"/>
          </w:tcPr>
          <w:p>
            <w:pPr>
              <w:jc w:val="center"/>
              <w:rPr>
                <w:rFonts w:ascii="EYInterstate Light" w:hAnsi="EYInterstate Light"/>
                <w:color w:val="000000" w:themeColor="text1"/>
                <w:szCs w:val="21"/>
                <w14:textFill>
                  <w14:solidFill>
                    <w14:schemeClr w14:val="tx1"/>
                  </w14:solidFill>
                </w14:textFill>
              </w:rPr>
            </w:pPr>
          </w:p>
        </w:tc>
        <w:tc>
          <w:tcPr>
            <w:tcW w:w="2370" w:type="dxa"/>
            <w:vAlign w:val="center"/>
          </w:tcPr>
          <w:p>
            <w:pPr>
              <w:jc w:val="center"/>
              <w:rPr>
                <w:rFonts w:ascii="EYInterstate Light" w:hAnsi="EYInterstate Light"/>
                <w:color w:val="000000" w:themeColor="text1"/>
                <w:szCs w:val="21"/>
                <w14:textFill>
                  <w14:solidFill>
                    <w14:schemeClr w14:val="tx1"/>
                  </w14:solidFill>
                </w14:textFill>
              </w:rPr>
            </w:pPr>
          </w:p>
        </w:tc>
        <w:tc>
          <w:tcPr>
            <w:tcW w:w="2268" w:type="dxa"/>
            <w:vAlign w:val="center"/>
          </w:tcPr>
          <w:p>
            <w:pPr>
              <w:jc w:val="center"/>
              <w:rPr>
                <w:rFonts w:ascii="EYInterstate Light" w:hAnsi="EYInterstate Light"/>
                <w:color w:val="000000" w:themeColor="text1"/>
                <w:szCs w:val="21"/>
                <w14:textFill>
                  <w14:solidFill>
                    <w14:schemeClr w14:val="tx1"/>
                  </w14:solidFill>
                </w14:textFill>
              </w:rPr>
            </w:pPr>
          </w:p>
        </w:tc>
        <w:tc>
          <w:tcPr>
            <w:tcW w:w="1381" w:type="dxa"/>
            <w:vAlign w:val="center"/>
          </w:tcPr>
          <w:p>
            <w:pPr>
              <w:jc w:val="center"/>
              <w:rPr>
                <w:rFonts w:hint="eastAsia" w:ascii="EYInterstate Light" w:hAnsi="EYInterstate Light"/>
                <w:color w:val="000000" w:themeColor="text1"/>
                <w:szCs w:val="21"/>
                <w:lang w:val="en-US" w:eastAsia="zh-CN"/>
                <w14:textFill>
                  <w14:solidFill>
                    <w14:schemeClr w14:val="tx1"/>
                  </w14:solidFill>
                </w14:textFill>
              </w:rPr>
            </w:pPr>
            <w:r>
              <w:rPr>
                <w:rFonts w:ascii="EYInterstate Light" w:hAnsi="EYInterstate Light"/>
                <w:color w:val="000000" w:themeColor="text1"/>
                <w:szCs w:val="21"/>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正偏离</w:t>
            </w:r>
          </w:p>
          <w:p>
            <w:pPr>
              <w:jc w:val="center"/>
              <w:rPr>
                <w:rFonts w:ascii="EYInterstate Light" w:hAnsi="EYInterstate Light"/>
                <w:color w:val="000000" w:themeColor="text1"/>
                <w:szCs w:val="21"/>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负偏离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bl>
    <w:p>
      <w:pPr>
        <w:spacing w:after="120"/>
        <w:rPr>
          <w:rFonts w:ascii="EYInterstate Light" w:hAnsi="EYInterstate Light"/>
          <w:color w:val="000000" w:themeColor="text1"/>
          <w:szCs w:val="21"/>
          <w14:textFill>
            <w14:solidFill>
              <w14:schemeClr w14:val="tx1"/>
            </w14:solidFill>
          </w14:textFill>
        </w:rPr>
      </w:pPr>
    </w:p>
    <w:p>
      <w:pPr>
        <w:widowControl/>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投标人(盖公章或电子签章或合同章)：</w:t>
      </w:r>
    </w:p>
    <w:p>
      <w:pPr>
        <w:widowControl/>
        <w:jc w:val="left"/>
        <w:rPr>
          <w:rFonts w:hint="eastAsia" w:ascii="宋体" w:hAnsi="宋体" w:eastAsia="宋体" w:cs="宋体"/>
          <w:color w:val="000000" w:themeColor="text1"/>
          <w:szCs w:val="21"/>
          <w14:textFill>
            <w14:solidFill>
              <w14:schemeClr w14:val="tx1"/>
            </w14:solidFill>
          </w14:textFill>
        </w:rPr>
      </w:pPr>
    </w:p>
    <w:p>
      <w:pPr>
        <w:widowControl/>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_______年________月______日</w:t>
      </w:r>
    </w:p>
    <w:p>
      <w:pPr>
        <w:widowControl/>
        <w:numPr>
          <w:ilvl w:val="0"/>
          <w:numId w:val="0"/>
        </w:numPr>
        <w:ind w:left="0" w:leftChars="0" w:firstLine="420" w:firstLineChars="0"/>
        <w:jc w:val="left"/>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widowControl/>
        <w:numPr>
          <w:ilvl w:val="0"/>
          <w:numId w:val="0"/>
        </w:numPr>
        <w:ind w:left="0" w:leftChars="0" w:firstLine="420" w:firstLineChars="0"/>
        <w:jc w:val="left"/>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widowControl/>
        <w:numPr>
          <w:ilvl w:val="0"/>
          <w:numId w:val="0"/>
        </w:numPr>
        <w:ind w:left="0" w:leftChars="0" w:firstLine="420" w:firstLineChars="0"/>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widowControl/>
        <w:numPr>
          <w:ilvl w:val="0"/>
          <w:numId w:val="0"/>
        </w:numPr>
        <w:ind w:left="0" w:leftChars="0" w:firstLine="420" w:firstLineChars="0"/>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widowControl/>
        <w:numPr>
          <w:ilvl w:val="0"/>
          <w:numId w:val="0"/>
        </w:numPr>
        <w:ind w:left="0" w:leftChars="0" w:firstLine="420" w:firstLineChars="0"/>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widowControl/>
        <w:numPr>
          <w:ilvl w:val="0"/>
          <w:numId w:val="0"/>
        </w:numPr>
        <w:ind w:left="0" w:leftChars="0" w:firstLine="420" w:firstLineChars="0"/>
        <w:rPr>
          <w:rFonts w:hint="eastAsia" w:ascii="EYInterstate Light" w:hAnsi="EYInterstate Light" w:eastAsia="EYInterstate Light" w:cs="Tahoma"/>
          <w:b/>
          <w:bCs/>
          <w:color w:val="000000" w:themeColor="text1"/>
          <w:kern w:val="2"/>
          <w:sz w:val="24"/>
          <w:szCs w:val="24"/>
          <w:lang w:val="en-US" w:eastAsia="zh-CN" w:bidi="ar-SA"/>
          <w14:textFill>
            <w14:solidFill>
              <w14:schemeClr w14:val="tx1"/>
            </w14:solidFill>
          </w14:textFill>
        </w:rPr>
      </w:pPr>
    </w:p>
    <w:p>
      <w:pPr>
        <w:widowControl/>
        <w:numPr>
          <w:ilvl w:val="0"/>
          <w:numId w:val="0"/>
        </w:numPr>
        <w:rPr>
          <w:rFonts w:hint="eastAsia" w:ascii="宋体" w:hAnsi="宋体" w:eastAsia="宋体" w:cs="宋体"/>
          <w:b/>
          <w:bCs/>
          <w:color w:val="000000" w:themeColor="text1"/>
          <w:sz w:val="24"/>
          <w14:textFill>
            <w14:solidFill>
              <w14:schemeClr w14:val="tx1"/>
            </w14:solidFill>
          </w14:textFill>
        </w:rPr>
      </w:pPr>
      <w:bookmarkStart w:id="638" w:name="_Toc371605529"/>
      <w:bookmarkStart w:id="639" w:name="_Toc467578263"/>
      <w:bookmarkStart w:id="640" w:name="_Toc371661602"/>
      <w:bookmarkStart w:id="641" w:name="_Toc371582608"/>
      <w:bookmarkStart w:id="642" w:name="_Toc368993669"/>
      <w:bookmarkStart w:id="643" w:name="_Toc467578218"/>
      <w:bookmarkStart w:id="644" w:name="_Toc371002601"/>
      <w:bookmarkStart w:id="645" w:name="_Toc467578543"/>
      <w:r>
        <w:rPr>
          <w:rFonts w:hint="eastAsia" w:ascii="宋体" w:hAnsi="宋体" w:eastAsia="宋体" w:cs="宋体"/>
          <w:b/>
          <w:bCs/>
          <w:color w:val="000000" w:themeColor="text1"/>
          <w:kern w:val="2"/>
          <w:sz w:val="24"/>
          <w:szCs w:val="24"/>
          <w:lang w:val="en-US" w:eastAsia="zh-CN" w:bidi="ar-SA"/>
          <w14:textFill>
            <w14:solidFill>
              <w14:schemeClr w14:val="tx1"/>
            </w14:solidFill>
          </w14:textFill>
        </w:rPr>
        <w:t>⑥</w:t>
      </w:r>
      <w:r>
        <w:rPr>
          <w:rFonts w:hint="eastAsia" w:ascii="宋体" w:hAnsi="宋体" w:eastAsia="宋体" w:cs="宋体"/>
          <w:b/>
          <w:color w:val="000000" w:themeColor="text1"/>
          <w:sz w:val="24"/>
          <w14:textFill>
            <w14:solidFill>
              <w14:schemeClr w14:val="tx1"/>
            </w14:solidFill>
          </w14:textFill>
        </w:rPr>
        <w:t>近年完成的类似项目情况表</w:t>
      </w:r>
      <w:bookmarkEnd w:id="638"/>
      <w:bookmarkEnd w:id="639"/>
      <w:bookmarkEnd w:id="640"/>
      <w:bookmarkEnd w:id="641"/>
      <w:bookmarkEnd w:id="642"/>
      <w:bookmarkEnd w:id="643"/>
      <w:bookmarkEnd w:id="644"/>
      <w:bookmarkEnd w:id="645"/>
    </w:p>
    <w:p>
      <w:pPr>
        <w:rPr>
          <w:color w:val="000000" w:themeColor="text1"/>
          <w14:textFill>
            <w14:solidFill>
              <w14:schemeClr w14:val="tx1"/>
            </w14:solidFill>
          </w14:textFill>
        </w:rPr>
      </w:pPr>
    </w:p>
    <w:tbl>
      <w:tblPr>
        <w:tblStyle w:val="48"/>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6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项目名称</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项目所在地</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项目单位名称</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项目单位地址</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项目单位电话</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合同价格</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负责人及电话</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交验日期</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5" w:hRule="atLeast"/>
        </w:trPr>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项目描述</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6" w:hRule="atLeast"/>
        </w:trPr>
        <w:tc>
          <w:tcPr>
            <w:tcW w:w="2526" w:type="dxa"/>
            <w:tcBorders>
              <w:top w:val="outset" w:color="auto" w:sz="6" w:space="0"/>
              <w:left w:val="outset" w:color="auto" w:sz="6" w:space="0"/>
              <w:bottom w:val="outset" w:color="auto" w:sz="6" w:space="0"/>
              <w:right w:val="outset" w:color="auto" w:sz="6" w:space="0"/>
            </w:tcBorders>
            <w:vAlign w:val="center"/>
          </w:tcPr>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tc>
        <w:tc>
          <w:tcPr>
            <w:tcW w:w="6081" w:type="dxa"/>
            <w:tcBorders>
              <w:top w:val="outset" w:color="auto" w:sz="6" w:space="0"/>
              <w:left w:val="outset" w:color="auto" w:sz="6" w:space="0"/>
              <w:bottom w:val="outset" w:color="auto" w:sz="6" w:space="0"/>
              <w:right w:val="outset" w:color="auto" w:sz="6" w:space="0"/>
            </w:tcBorders>
            <w:vAlign w:val="center"/>
          </w:tcPr>
          <w:p>
            <w:pPr>
              <w:rPr>
                <w:color w:val="000000" w:themeColor="text1"/>
                <w14:textFill>
                  <w14:solidFill>
                    <w14:schemeClr w14:val="tx1"/>
                  </w14:solidFill>
                </w14:textFill>
              </w:rPr>
            </w:pPr>
          </w:p>
        </w:tc>
      </w:tr>
    </w:tbl>
    <w:p>
      <w:pPr>
        <w:rPr>
          <w:color w:val="000000" w:themeColor="text1"/>
          <w14:textFill>
            <w14:solidFill>
              <w14:schemeClr w14:val="tx1"/>
            </w14:solidFill>
          </w14:textFill>
        </w:rPr>
      </w:pPr>
    </w:p>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 xml:space="preserve">投标人（盖公章或电子签章或合同章）            </w:t>
      </w:r>
    </w:p>
    <w:p>
      <w:pPr>
        <w:rPr>
          <w:rFonts w:hint="eastAsia" w:ascii="宋体" w:hAnsi="宋体" w:eastAsia="宋体" w:cs="宋体"/>
          <w:color w:val="000000" w:themeColor="text1"/>
          <w14:textFill>
            <w14:solidFill>
              <w14:schemeClr w14:val="tx1"/>
            </w14:solidFill>
          </w14:textFill>
        </w:rPr>
      </w:pPr>
    </w:p>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日期：     年   月   日</w:t>
      </w:r>
    </w:p>
    <w:p>
      <w:pPr>
        <w:rPr>
          <w:rFonts w:hint="eastAsia" w:ascii="宋体" w:hAnsi="宋体" w:eastAsia="宋体" w:cs="宋体"/>
          <w:color w:val="000000" w:themeColor="text1"/>
          <w14:textFill>
            <w14:solidFill>
              <w14:schemeClr w14:val="tx1"/>
            </w14:solidFill>
          </w14:textFill>
        </w:rPr>
      </w:pPr>
    </w:p>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备注：</w:t>
      </w:r>
    </w:p>
    <w:p>
      <w:pPr>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本表后附中标通知书、采购合同及项目验收单的复印件（如有），具体年份要求见评标要求。每张表格只填写一个项目，并标明序号。</w:t>
      </w:r>
    </w:p>
    <w:p>
      <w:pPr>
        <w:widowControl/>
        <w:rPr>
          <w:rFonts w:ascii="EYInterstate Light" w:hAnsi="EYInterstate Light"/>
          <w:color w:val="000000" w:themeColor="text1"/>
          <w:szCs w:val="21"/>
          <w14:textFill>
            <w14:solidFill>
              <w14:schemeClr w14:val="tx1"/>
            </w14:solidFill>
          </w14:textFill>
        </w:rPr>
      </w:pPr>
    </w:p>
    <w:p>
      <w:pPr>
        <w:widowControl/>
        <w:ind w:firstLine="4080" w:firstLineChars="1700"/>
        <w:rPr>
          <w:rFonts w:ascii="EYInterstate Light" w:hAnsi="EYInterstate Light"/>
          <w:color w:val="000000" w:themeColor="text1"/>
          <w:sz w:val="24"/>
          <w14:textFill>
            <w14:solidFill>
              <w14:schemeClr w14:val="tx1"/>
            </w14:solidFill>
          </w14:textFill>
        </w:rPr>
      </w:pPr>
    </w:p>
    <w:p>
      <w:pPr>
        <w:spacing w:after="120" w:line="360" w:lineRule="auto"/>
        <w:jc w:val="right"/>
        <w:rPr>
          <w:rFonts w:ascii="EYInterstate Light" w:hAnsi="EYInterstate Light"/>
          <w:color w:val="000000" w:themeColor="text1"/>
          <w:sz w:val="24"/>
          <w14:textFill>
            <w14:solidFill>
              <w14:schemeClr w14:val="tx1"/>
            </w14:solidFill>
          </w14:textFill>
        </w:rPr>
        <w:sectPr>
          <w:pgSz w:w="11906" w:h="16838"/>
          <w:pgMar w:top="1588" w:right="1701" w:bottom="1588" w:left="1701" w:header="851" w:footer="992" w:gutter="0"/>
          <w:pgBorders>
            <w:top w:val="none" w:sz="0" w:space="0"/>
            <w:left w:val="none" w:sz="0" w:space="0"/>
            <w:bottom w:val="none" w:sz="0" w:space="0"/>
            <w:right w:val="none" w:sz="0" w:space="0"/>
          </w:pgBorders>
          <w:cols w:space="720" w:num="1"/>
          <w:docGrid w:type="linesAndChars" w:linePitch="380" w:charSpace="0"/>
        </w:sectPr>
      </w:pPr>
    </w:p>
    <w:p>
      <w:pPr>
        <w:widowControl/>
        <w:numPr>
          <w:ilvl w:val="0"/>
          <w:numId w:val="0"/>
        </w:numPr>
        <w:bidi w:val="0"/>
        <w:ind w:firstLine="0"/>
        <w:rPr>
          <w:rFonts w:ascii="宋体" w:hAnsi="宋体" w:eastAsia="宋体" w:cs="宋体"/>
          <w:b/>
          <w:bCs/>
          <w:color w:val="000000" w:themeColor="text1"/>
          <w:sz w:val="24"/>
          <w:szCs w:val="24"/>
          <w14:textFill>
            <w14:solidFill>
              <w14:schemeClr w14:val="tx1"/>
            </w14:solidFill>
          </w14:textFill>
        </w:rPr>
      </w:pPr>
      <w:bookmarkStart w:id="646" w:name="_Toc85736459"/>
      <w:bookmarkStart w:id="647" w:name="_Toc53245907"/>
      <w:bookmarkStart w:id="648" w:name="_Toc46421290"/>
      <w:bookmarkStart w:id="649" w:name="_Toc90407527"/>
      <w:bookmarkStart w:id="650" w:name="_Toc53246098"/>
      <w:bookmarkStart w:id="651" w:name="_Toc85736553"/>
      <w:bookmarkStart w:id="652" w:name="_Toc488655915"/>
      <w:r>
        <w:rPr>
          <w:rFonts w:hint="default" w:ascii="宋体" w:hAnsi="宋体" w:eastAsia="宋体" w:cs="宋体"/>
          <w:b/>
          <w:bCs/>
          <w:color w:val="000000" w:themeColor="text1"/>
          <w:sz w:val="24"/>
          <w:szCs w:val="24"/>
          <w:lang w:val="en-US" w:eastAsia="zh-CN"/>
          <w14:textFill>
            <w14:solidFill>
              <w14:schemeClr w14:val="tx1"/>
            </w14:solidFill>
          </w14:textFill>
        </w:rPr>
        <w:t>⑦</w:t>
      </w:r>
      <w:r>
        <w:rPr>
          <w:rFonts w:hint="default" w:ascii="宋体" w:hAnsi="宋体" w:eastAsia="宋体" w:cs="宋体"/>
          <w:b/>
          <w:bCs/>
          <w:color w:val="000000" w:themeColor="text1"/>
          <w:sz w:val="24"/>
          <w:szCs w:val="24"/>
          <w14:textFill>
            <w14:solidFill>
              <w14:schemeClr w14:val="tx1"/>
            </w14:solidFill>
          </w14:textFill>
        </w:rPr>
        <w:t>具备法律、行政法规规定的其他条件的证明材料</w:t>
      </w:r>
      <w:r>
        <w:rPr>
          <w:rFonts w:ascii="宋体" w:hAnsi="宋体" w:eastAsia="宋体" w:cs="宋体"/>
          <w:b/>
          <w:bCs/>
          <w:color w:val="000000" w:themeColor="text1"/>
          <w:sz w:val="24"/>
          <w:szCs w:val="24"/>
          <w14:textFill>
            <w14:solidFill>
              <w14:schemeClr w14:val="tx1"/>
            </w14:solidFill>
          </w14:textFill>
        </w:rPr>
        <w:br w:type="page"/>
      </w:r>
      <w:bookmarkStart w:id="653" w:name="_Toc53245908"/>
    </w:p>
    <w:p>
      <w:pPr>
        <w:pStyle w:val="6"/>
        <w:numPr>
          <w:ilvl w:val="0"/>
          <w:numId w:val="0"/>
        </w:numPr>
        <w:bidi w:val="0"/>
        <w:ind w:left="0" w:leftChars="0"/>
        <w:rPr>
          <w:rFonts w:hint="eastAsia" w:ascii="宋体" w:hAnsi="宋体" w:eastAsia="宋体" w:cs="宋体"/>
          <w:color w:val="000000" w:themeColor="text1"/>
          <w:sz w:val="32"/>
          <w:szCs w:val="32"/>
          <w14:textFill>
            <w14:solidFill>
              <w14:schemeClr w14:val="tx1"/>
            </w14:solidFill>
          </w14:textFill>
        </w:rPr>
      </w:pPr>
      <w:bookmarkStart w:id="654" w:name="_Toc14487"/>
      <w:bookmarkStart w:id="655" w:name="_Toc24697"/>
      <w:bookmarkStart w:id="656" w:name="_Toc13804"/>
      <w:bookmarkStart w:id="657" w:name="_Toc17350"/>
      <w:bookmarkStart w:id="658" w:name="_Toc10486"/>
      <w:bookmarkStart w:id="659" w:name="_Toc12379"/>
      <w:bookmarkStart w:id="660" w:name="_Toc29879"/>
      <w:bookmarkStart w:id="661" w:name="_Toc31038"/>
      <w:bookmarkStart w:id="662" w:name="_Toc23822"/>
      <w:bookmarkStart w:id="663" w:name="_Toc22838"/>
      <w:bookmarkStart w:id="664" w:name="_Toc19742"/>
      <w:bookmarkStart w:id="665" w:name="_Toc29435"/>
      <w:r>
        <w:rPr>
          <w:rFonts w:hint="eastAsia" w:ascii="宋体" w:hAnsi="宋体" w:cs="宋体"/>
          <w:lang w:val="en-US" w:eastAsia="zh-CN"/>
        </w:rPr>
        <w:t>四、技术文件</w:t>
      </w:r>
      <w:bookmarkEnd w:id="646"/>
      <w:bookmarkEnd w:id="647"/>
      <w:bookmarkEnd w:id="648"/>
      <w:bookmarkEnd w:id="649"/>
      <w:bookmarkEnd w:id="650"/>
      <w:bookmarkEnd w:id="651"/>
      <w:bookmarkEnd w:id="653"/>
      <w:bookmarkEnd w:id="654"/>
      <w:bookmarkEnd w:id="655"/>
      <w:bookmarkEnd w:id="656"/>
      <w:bookmarkEnd w:id="657"/>
      <w:bookmarkEnd w:id="658"/>
      <w:bookmarkEnd w:id="659"/>
      <w:bookmarkEnd w:id="660"/>
      <w:bookmarkEnd w:id="661"/>
      <w:bookmarkEnd w:id="662"/>
      <w:bookmarkEnd w:id="663"/>
      <w:bookmarkEnd w:id="664"/>
      <w:bookmarkEnd w:id="665"/>
    </w:p>
    <w:p>
      <w:pPr>
        <w:bidi w:val="0"/>
        <w:jc w:val="center"/>
        <w:rPr>
          <w:rFonts w:hint="eastAsia" w:ascii="宋体" w:hAnsi="宋体" w:eastAsia="宋体" w:cs="宋体"/>
        </w:rPr>
      </w:pPr>
      <w:bookmarkStart w:id="666" w:name="_Toc53245909"/>
      <w:bookmarkStart w:id="667" w:name="_Toc70627002"/>
      <w:bookmarkStart w:id="668" w:name="_Toc46421292"/>
      <w:bookmarkStart w:id="669" w:name="_Toc85736259"/>
      <w:bookmarkStart w:id="670" w:name="_Toc53246100"/>
      <w:bookmarkStart w:id="671" w:name="_Toc85736461"/>
      <w:bookmarkStart w:id="672" w:name="_Toc90407529"/>
      <w:bookmarkStart w:id="673" w:name="_Toc85736555"/>
      <w:r>
        <w:rPr>
          <w:rFonts w:hint="eastAsia" w:ascii="宋体" w:hAnsi="宋体" w:eastAsia="宋体" w:cs="宋体"/>
        </w:rPr>
        <w:t>目录</w:t>
      </w:r>
      <w:bookmarkEnd w:id="666"/>
      <w:bookmarkEnd w:id="667"/>
      <w:bookmarkEnd w:id="668"/>
      <w:bookmarkEnd w:id="669"/>
      <w:bookmarkEnd w:id="670"/>
      <w:bookmarkEnd w:id="671"/>
      <w:bookmarkEnd w:id="672"/>
      <w:bookmarkEnd w:id="673"/>
    </w:p>
    <w:p>
      <w:pPr>
        <w:bidi w:val="0"/>
        <w:spacing w:line="360" w:lineRule="auto"/>
        <w:rPr>
          <w:rFonts w:hint="eastAsia" w:ascii="宋体" w:hAnsi="宋体" w:eastAsia="宋体" w:cs="宋体"/>
          <w:color w:val="000000" w:themeColor="text1"/>
          <w:sz w:val="24"/>
          <w:szCs w:val="24"/>
          <w14:textFill>
            <w14:solidFill>
              <w14:schemeClr w14:val="tx1"/>
            </w14:solidFill>
          </w14:textFill>
        </w:rPr>
      </w:pPr>
      <w:bookmarkStart w:id="674" w:name="_Toc90407530"/>
      <w:bookmarkStart w:id="675" w:name="_Toc53246101"/>
      <w:bookmarkStart w:id="676" w:name="_Toc85736556"/>
      <w:bookmarkStart w:id="677" w:name="_Toc85736260"/>
      <w:bookmarkStart w:id="678" w:name="_Toc53245910"/>
      <w:bookmarkStart w:id="679" w:name="_Toc70627003"/>
      <w:bookmarkStart w:id="680" w:name="_Toc85736462"/>
      <w:bookmarkStart w:id="681" w:name="_Toc46421293"/>
      <w:r>
        <w:rPr>
          <w:rFonts w:hint="eastAsia" w:ascii="宋体" w:hAnsi="宋体" w:eastAsia="宋体" w:cs="宋体"/>
          <w:b w:val="0"/>
          <w:color w:val="000000" w:themeColor="text1"/>
          <w:sz w:val="21"/>
          <w:szCs w:val="21"/>
          <w14:textFill>
            <w14:solidFill>
              <w14:schemeClr w14:val="tx1"/>
            </w14:solidFill>
          </w14:textFill>
        </w:rPr>
        <w:t>参照第二章投标人须知</w:t>
      </w:r>
      <w:r>
        <w:rPr>
          <w:rFonts w:hint="eastAsia" w:ascii="宋体" w:hAnsi="宋体" w:eastAsia="宋体" w:cs="宋体"/>
          <w:b w:val="0"/>
          <w:color w:val="000000" w:themeColor="text1"/>
          <w:sz w:val="21"/>
          <w:szCs w:val="21"/>
          <w:lang w:eastAsia="zh-CN"/>
          <w14:textFill>
            <w14:solidFill>
              <w14:schemeClr w14:val="tx1"/>
            </w14:solidFill>
          </w14:textFill>
        </w:rPr>
        <w:t>【</w:t>
      </w:r>
      <w:r>
        <w:rPr>
          <w:rFonts w:hint="eastAsia" w:ascii="宋体" w:hAnsi="宋体" w:eastAsia="宋体" w:cs="宋体"/>
          <w:b w:val="0"/>
          <w:color w:val="000000" w:themeColor="text1"/>
          <w:sz w:val="21"/>
          <w:szCs w:val="21"/>
          <w14:textFill>
            <w14:solidFill>
              <w14:schemeClr w14:val="tx1"/>
            </w14:solidFill>
          </w14:textFill>
        </w:rPr>
        <w:t>技术文件</w:t>
      </w:r>
      <w:r>
        <w:rPr>
          <w:rFonts w:hint="eastAsia" w:ascii="宋体" w:hAnsi="宋体" w:eastAsia="宋体" w:cs="宋体"/>
          <w:b w:val="0"/>
          <w:color w:val="000000" w:themeColor="text1"/>
          <w:sz w:val="21"/>
          <w:szCs w:val="21"/>
          <w:lang w:eastAsia="zh-CN"/>
          <w14:textFill>
            <w14:solidFill>
              <w14:schemeClr w14:val="tx1"/>
            </w14:solidFill>
          </w14:textFill>
        </w:rPr>
        <w:t>】</w:t>
      </w:r>
      <w:r>
        <w:rPr>
          <w:rFonts w:hint="eastAsia" w:ascii="宋体" w:hAnsi="宋体" w:eastAsia="宋体" w:cs="宋体"/>
          <w:b w:val="0"/>
          <w:bCs w:val="0"/>
          <w:snapToGrid w:val="0"/>
          <w:color w:val="000000" w:themeColor="text1"/>
          <w:kern w:val="0"/>
          <w:sz w:val="21"/>
          <w:szCs w:val="21"/>
          <w14:textFill>
            <w14:solidFill>
              <w14:schemeClr w14:val="tx1"/>
            </w14:solidFill>
          </w14:textFill>
        </w:rPr>
        <w:t>（部分参考格式附后）</w:t>
      </w:r>
      <w:r>
        <w:rPr>
          <w:rFonts w:ascii="EYInterstate Light" w:hAnsi="EYInterstate Light" w:eastAsia="EYInterstate Light"/>
          <w:b w:val="0"/>
          <w:color w:val="000000" w:themeColor="text1"/>
          <w:sz w:val="21"/>
          <w:szCs w:val="21"/>
          <w14:textFill>
            <w14:solidFill>
              <w14:schemeClr w14:val="tx1"/>
            </w14:solidFill>
          </w14:textFill>
        </w:rPr>
        <w:br w:type="page"/>
      </w:r>
      <w:bookmarkStart w:id="682" w:name="_Toc85736463"/>
      <w:bookmarkStart w:id="683" w:name="_Toc53245911"/>
      <w:bookmarkStart w:id="684" w:name="_Toc90407531"/>
      <w:bookmarkStart w:id="685" w:name="_Toc46421294"/>
      <w:bookmarkStart w:id="686" w:name="_Toc85736557"/>
      <w:bookmarkStart w:id="687" w:name="_Toc85736261"/>
      <w:bookmarkStart w:id="688" w:name="_Toc53246102"/>
      <w:r>
        <w:rPr>
          <w:rFonts w:hint="eastAsia" w:ascii="宋体" w:hAnsi="宋体" w:eastAsia="宋体" w:cs="宋体"/>
          <w:color w:val="000000" w:themeColor="text1"/>
          <w:sz w:val="24"/>
          <w:szCs w:val="24"/>
          <w14:textFill>
            <w14:solidFill>
              <w14:schemeClr w14:val="tx1"/>
            </w14:solidFill>
          </w14:textFill>
        </w:rPr>
        <w:t>技术文件部分参考格式</w:t>
      </w:r>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p>
    <w:p>
      <w:pPr>
        <w:numPr>
          <w:ilvl w:val="0"/>
          <w:numId w:val="67"/>
        </w:numPr>
        <w:adjustRightInd w:val="0"/>
        <w:snapToGrid w:val="0"/>
        <w:spacing w:line="360" w:lineRule="auto"/>
        <w:ind w:left="425" w:leftChars="0" w:hanging="425" w:firstLineChars="0"/>
        <w:jc w:val="left"/>
        <w:rPr>
          <w:rFonts w:hint="eastAsia" w:ascii="宋体" w:hAnsi="宋体" w:eastAsia="宋体" w:cs="宋体"/>
          <w:b/>
          <w:snapToGrid w:val="0"/>
          <w:color w:val="000000" w:themeColor="text1"/>
          <w:kern w:val="0"/>
          <w:szCs w:val="21"/>
          <w14:textFill>
            <w14:solidFill>
              <w14:schemeClr w14:val="tx1"/>
            </w14:solidFill>
          </w14:textFill>
        </w:rPr>
      </w:pPr>
      <w:r>
        <w:rPr>
          <w:rFonts w:hint="eastAsia" w:ascii="宋体" w:hAnsi="宋体" w:eastAsia="宋体" w:cs="宋体"/>
          <w:snapToGrid w:val="0"/>
          <w:color w:val="000000" w:themeColor="text1"/>
          <w:kern w:val="0"/>
          <w:szCs w:val="21"/>
          <w14:textFill>
            <w14:solidFill>
              <w14:schemeClr w14:val="tx1"/>
            </w14:solidFill>
          </w14:textFill>
        </w:rPr>
        <w:t>技术偏离表；</w:t>
      </w:r>
    </w:p>
    <w:p>
      <w:pPr>
        <w:numPr>
          <w:ilvl w:val="0"/>
          <w:numId w:val="67"/>
        </w:numPr>
        <w:adjustRightInd w:val="0"/>
        <w:snapToGrid w:val="0"/>
        <w:spacing w:line="360" w:lineRule="auto"/>
        <w:ind w:left="425" w:leftChars="0" w:hanging="425"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和评分有关的相关内容；</w:t>
      </w:r>
      <w:r>
        <w:rPr>
          <w:rFonts w:hint="eastAsia" w:ascii="宋体" w:hAnsi="宋体" w:eastAsia="宋体" w:cs="宋体"/>
          <w:color w:val="000000" w:themeColor="text1"/>
          <w:szCs w:val="21"/>
          <w14:textFill>
            <w14:solidFill>
              <w14:schemeClr w14:val="tx1"/>
            </w14:solidFill>
          </w14:textFill>
        </w:rPr>
        <w:tab/>
      </w:r>
    </w:p>
    <w:p>
      <w:pPr>
        <w:numPr>
          <w:ilvl w:val="0"/>
          <w:numId w:val="67"/>
        </w:numPr>
        <w:adjustRightInd w:val="0"/>
        <w:snapToGrid w:val="0"/>
        <w:spacing w:line="360" w:lineRule="auto"/>
        <w:ind w:left="425" w:leftChars="0" w:hanging="425" w:firstLineChars="0"/>
        <w:jc w:val="left"/>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投标人认为需要提供的其它与评分有关的文件及资料。</w:t>
      </w:r>
    </w:p>
    <w:p>
      <w:pPr>
        <w:jc w:val="center"/>
        <w:rPr>
          <w:rFonts w:hint="eastAsia" w:ascii="宋体" w:hAnsi="宋体" w:eastAsia="宋体" w:cs="宋体"/>
          <w:b/>
          <w:color w:val="000000" w:themeColor="text1"/>
          <w:sz w:val="24"/>
          <w14:textFill>
            <w14:solidFill>
              <w14:schemeClr w14:val="tx1"/>
            </w14:solidFill>
          </w14:textFill>
        </w:rPr>
      </w:pPr>
      <w:r>
        <w:rPr>
          <w:color w:val="000000" w:themeColor="text1"/>
          <w14:textFill>
            <w14:solidFill>
              <w14:schemeClr w14:val="tx1"/>
            </w14:solidFill>
          </w14:textFill>
        </w:rPr>
        <w:br w:type="page"/>
      </w:r>
      <w:r>
        <w:rPr>
          <w:rFonts w:hint="eastAsia" w:ascii="宋体" w:hAnsi="宋体" w:eastAsia="宋体" w:cs="宋体"/>
          <w:b/>
          <w:color w:val="000000" w:themeColor="text1"/>
          <w:sz w:val="24"/>
          <w14:textFill>
            <w14:solidFill>
              <w14:schemeClr w14:val="tx1"/>
            </w14:solidFill>
          </w14:textFill>
        </w:rPr>
        <w:t>技术偏离表</w:t>
      </w:r>
    </w:p>
    <w:p>
      <w:pPr>
        <w:jc w:val="center"/>
        <w:rPr>
          <w:rFonts w:hint="eastAsia" w:ascii="宋体" w:hAnsi="宋体" w:eastAsia="宋体" w:cs="宋体"/>
          <w:b/>
          <w:color w:val="000000" w:themeColor="text1"/>
          <w:sz w:val="24"/>
          <w14:textFill>
            <w14:solidFill>
              <w14:schemeClr w14:val="tx1"/>
            </w14:solidFill>
          </w14:textFill>
        </w:rPr>
      </w:pPr>
    </w:p>
    <w:p>
      <w:pPr>
        <w:spacing w:after="12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投标人名称：</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themeColor="text1"/>
          <w:szCs w:val="21"/>
          <w14:textFill>
            <w14:solidFill>
              <w14:schemeClr w14:val="tx1"/>
            </w14:solidFill>
          </w14:textFill>
        </w:rPr>
        <w:t>招标编号：</w:t>
      </w:r>
    </w:p>
    <w:tbl>
      <w:tblPr>
        <w:tblStyle w:val="48"/>
        <w:tblW w:w="8455" w:type="dxa"/>
        <w:tblInd w:w="42"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86"/>
        <w:gridCol w:w="1750"/>
        <w:gridCol w:w="2370"/>
        <w:gridCol w:w="2268"/>
        <w:gridCol w:w="1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71" w:hRule="atLeast"/>
        </w:trPr>
        <w:tc>
          <w:tcPr>
            <w:tcW w:w="686"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序号</w:t>
            </w:r>
          </w:p>
        </w:tc>
        <w:tc>
          <w:tcPr>
            <w:tcW w:w="1750"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招标文件条目号</w:t>
            </w:r>
          </w:p>
        </w:tc>
        <w:tc>
          <w:tcPr>
            <w:tcW w:w="2370"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招标文件的合同条款</w:t>
            </w:r>
          </w:p>
        </w:tc>
        <w:tc>
          <w:tcPr>
            <w:tcW w:w="2268"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投标文件的合同条款</w:t>
            </w:r>
          </w:p>
        </w:tc>
        <w:tc>
          <w:tcPr>
            <w:tcW w:w="1381" w:type="dxa"/>
            <w:vAlign w:val="center"/>
          </w:tcPr>
          <w:p>
            <w:pPr>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说明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vAlign w:val="center"/>
          </w:tcPr>
          <w:p>
            <w:pPr>
              <w:jc w:val="center"/>
              <w:rPr>
                <w:rFonts w:ascii="EYInterstate Light" w:hAnsi="EYInterstate Light"/>
                <w:color w:val="000000" w:themeColor="text1"/>
                <w:szCs w:val="21"/>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t>1</w:t>
            </w:r>
          </w:p>
        </w:tc>
        <w:tc>
          <w:tcPr>
            <w:tcW w:w="1750" w:type="dxa"/>
            <w:vAlign w:val="center"/>
          </w:tcPr>
          <w:p>
            <w:pPr>
              <w:jc w:val="center"/>
              <w:rPr>
                <w:rFonts w:ascii="EYInterstate Light" w:hAnsi="EYInterstate Light"/>
                <w:color w:val="000000" w:themeColor="text1"/>
                <w:szCs w:val="21"/>
                <w14:textFill>
                  <w14:solidFill>
                    <w14:schemeClr w14:val="tx1"/>
                  </w14:solidFill>
                </w14:textFill>
              </w:rPr>
            </w:pPr>
          </w:p>
        </w:tc>
        <w:tc>
          <w:tcPr>
            <w:tcW w:w="2370" w:type="dxa"/>
            <w:vAlign w:val="center"/>
          </w:tcPr>
          <w:p>
            <w:pPr>
              <w:jc w:val="center"/>
              <w:rPr>
                <w:rFonts w:ascii="EYInterstate Light" w:hAnsi="EYInterstate Light"/>
                <w:color w:val="000000" w:themeColor="text1"/>
                <w:szCs w:val="21"/>
                <w14:textFill>
                  <w14:solidFill>
                    <w14:schemeClr w14:val="tx1"/>
                  </w14:solidFill>
                </w14:textFill>
              </w:rPr>
            </w:pPr>
          </w:p>
        </w:tc>
        <w:tc>
          <w:tcPr>
            <w:tcW w:w="2268" w:type="dxa"/>
            <w:vAlign w:val="center"/>
          </w:tcPr>
          <w:p>
            <w:pPr>
              <w:jc w:val="center"/>
              <w:rPr>
                <w:rFonts w:ascii="EYInterstate Light" w:hAnsi="EYInterstate Light"/>
                <w:color w:val="000000" w:themeColor="text1"/>
                <w:szCs w:val="21"/>
                <w14:textFill>
                  <w14:solidFill>
                    <w14:schemeClr w14:val="tx1"/>
                  </w14:solidFill>
                </w14:textFill>
              </w:rPr>
            </w:pPr>
          </w:p>
        </w:tc>
        <w:tc>
          <w:tcPr>
            <w:tcW w:w="1381" w:type="dxa"/>
            <w:vAlign w:val="center"/>
          </w:tcPr>
          <w:p>
            <w:pPr>
              <w:jc w:val="center"/>
              <w:rPr>
                <w:rFonts w:hint="eastAsia" w:ascii="EYInterstate Light" w:hAnsi="EYInterstate Light" w:eastAsia="EYInterstate Light"/>
                <w:color w:val="000000" w:themeColor="text1"/>
                <w:szCs w:val="21"/>
                <w:lang w:val="en-US" w:eastAsia="zh-CN"/>
                <w14:textFill>
                  <w14:solidFill>
                    <w14:schemeClr w14:val="tx1"/>
                  </w14:solidFill>
                </w14:textFill>
              </w:rPr>
            </w:pPr>
            <w:r>
              <w:rPr>
                <w:rFonts w:hint="eastAsia" w:ascii="EYInterstate Light" w:hAnsi="EYInterstate Light" w:eastAsia="EYInterstate Light"/>
                <w:color w:val="000000" w:themeColor="text1"/>
                <w:szCs w:val="21"/>
                <w:lang w:val="en-US" w:eastAsia="zh-CN"/>
                <w14:textFill>
                  <w14:solidFill>
                    <w14:schemeClr w14:val="tx1"/>
                  </w14:solidFill>
                </w14:textFill>
              </w:rPr>
              <w:sym w:font="Wingdings" w:char="00A8"/>
            </w:r>
            <w:r>
              <w:rPr>
                <w:rFonts w:hint="eastAsia" w:ascii="EYInterstate Light" w:hAnsi="EYInterstate Light" w:eastAsia="EYInterstate Light"/>
                <w:color w:val="000000" w:themeColor="text1"/>
                <w:szCs w:val="21"/>
                <w:lang w:val="en-US" w:eastAsia="zh-CN"/>
                <w14:textFill>
                  <w14:solidFill>
                    <w14:schemeClr w14:val="tx1"/>
                  </w14:solidFill>
                </w14:textFill>
              </w:rPr>
              <w:t>正偏离</w:t>
            </w:r>
          </w:p>
          <w:p>
            <w:pPr>
              <w:jc w:val="center"/>
              <w:rPr>
                <w:rFonts w:hint="eastAsia" w:ascii="EYInterstate Light" w:hAnsi="EYInterstate Light" w:eastAsia="EYInterstate Light"/>
                <w:color w:val="000000" w:themeColor="text1"/>
                <w:szCs w:val="21"/>
                <w:lang w:val="en-US" w:eastAsia="zh-CN"/>
                <w14:textFill>
                  <w14:solidFill>
                    <w14:schemeClr w14:val="tx1"/>
                  </w14:solidFill>
                </w14:textFill>
              </w:rPr>
            </w:pPr>
            <w:r>
              <w:rPr>
                <w:rFonts w:hint="eastAsia" w:ascii="EYInterstate Light" w:hAnsi="EYInterstate Light" w:eastAsia="EYInterstate Light"/>
                <w:color w:val="000000" w:themeColor="text1"/>
                <w:szCs w:val="21"/>
                <w:lang w:val="en-US" w:eastAsia="zh-CN"/>
                <w14:textFill>
                  <w14:solidFill>
                    <w14:schemeClr w14:val="tx1"/>
                  </w14:solidFill>
                </w14:textFill>
              </w:rPr>
              <w:sym w:font="Wingdings" w:char="00A8"/>
            </w:r>
            <w:r>
              <w:rPr>
                <w:rFonts w:hint="eastAsia" w:ascii="EYInterstate Light" w:hAnsi="EYInterstate Light" w:eastAsia="EYInterstate Light"/>
                <w:color w:val="000000" w:themeColor="text1"/>
                <w:szCs w:val="21"/>
                <w:lang w:val="en-US" w:eastAsia="zh-CN"/>
                <w14:textFill>
                  <w14:solidFill>
                    <w14:schemeClr w14:val="tx1"/>
                  </w14:solidFill>
                </w14:textFill>
              </w:rPr>
              <w:t>负偏离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vAlign w:val="center"/>
          </w:tcPr>
          <w:p>
            <w:pPr>
              <w:jc w:val="center"/>
              <w:rPr>
                <w:rFonts w:ascii="EYInterstate Light" w:hAnsi="EYInterstate Light"/>
                <w:color w:val="000000" w:themeColor="text1"/>
                <w:szCs w:val="21"/>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t>2</w:t>
            </w:r>
          </w:p>
        </w:tc>
        <w:tc>
          <w:tcPr>
            <w:tcW w:w="1750" w:type="dxa"/>
            <w:vAlign w:val="center"/>
          </w:tcPr>
          <w:p>
            <w:pPr>
              <w:jc w:val="center"/>
              <w:rPr>
                <w:rFonts w:ascii="EYInterstate Light" w:hAnsi="EYInterstate Light"/>
                <w:color w:val="000000" w:themeColor="text1"/>
                <w:szCs w:val="21"/>
                <w14:textFill>
                  <w14:solidFill>
                    <w14:schemeClr w14:val="tx1"/>
                  </w14:solidFill>
                </w14:textFill>
              </w:rPr>
            </w:pPr>
          </w:p>
        </w:tc>
        <w:tc>
          <w:tcPr>
            <w:tcW w:w="2370" w:type="dxa"/>
            <w:vAlign w:val="center"/>
          </w:tcPr>
          <w:p>
            <w:pPr>
              <w:jc w:val="center"/>
              <w:rPr>
                <w:rFonts w:ascii="EYInterstate Light" w:hAnsi="EYInterstate Light"/>
                <w:color w:val="000000" w:themeColor="text1"/>
                <w:szCs w:val="21"/>
                <w14:textFill>
                  <w14:solidFill>
                    <w14:schemeClr w14:val="tx1"/>
                  </w14:solidFill>
                </w14:textFill>
              </w:rPr>
            </w:pPr>
          </w:p>
        </w:tc>
        <w:tc>
          <w:tcPr>
            <w:tcW w:w="2268" w:type="dxa"/>
            <w:vAlign w:val="center"/>
          </w:tcPr>
          <w:p>
            <w:pPr>
              <w:jc w:val="center"/>
              <w:rPr>
                <w:rFonts w:ascii="EYInterstate Light" w:hAnsi="EYInterstate Light"/>
                <w:color w:val="000000" w:themeColor="text1"/>
                <w:szCs w:val="21"/>
                <w14:textFill>
                  <w14:solidFill>
                    <w14:schemeClr w14:val="tx1"/>
                  </w14:solidFill>
                </w14:textFill>
              </w:rPr>
            </w:pPr>
          </w:p>
        </w:tc>
        <w:tc>
          <w:tcPr>
            <w:tcW w:w="1381" w:type="dxa"/>
            <w:vAlign w:val="center"/>
          </w:tcPr>
          <w:p>
            <w:pPr>
              <w:jc w:val="center"/>
              <w:rPr>
                <w:rFonts w:hint="eastAsia" w:ascii="EYInterstate Light" w:hAnsi="EYInterstate Light"/>
                <w:color w:val="000000" w:themeColor="text1"/>
                <w:szCs w:val="21"/>
                <w:lang w:val="en-US" w:eastAsia="zh-CN"/>
                <w14:textFill>
                  <w14:solidFill>
                    <w14:schemeClr w14:val="tx1"/>
                  </w14:solidFill>
                </w14:textFill>
              </w:rPr>
            </w:pPr>
            <w:r>
              <w:rPr>
                <w:rFonts w:ascii="EYInterstate Light" w:hAnsi="EYInterstate Light"/>
                <w:color w:val="000000" w:themeColor="text1"/>
                <w:szCs w:val="21"/>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正偏离</w:t>
            </w:r>
          </w:p>
          <w:p>
            <w:pPr>
              <w:jc w:val="center"/>
              <w:rPr>
                <w:rFonts w:ascii="EYInterstate Light" w:hAnsi="EYInterstate Light"/>
                <w:color w:val="000000" w:themeColor="text1"/>
                <w:szCs w:val="21"/>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负偏离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34" w:hRule="atLeast"/>
        </w:trPr>
        <w:tc>
          <w:tcPr>
            <w:tcW w:w="686" w:type="dxa"/>
            <w:vAlign w:val="center"/>
          </w:tcPr>
          <w:p>
            <w:pPr>
              <w:jc w:val="center"/>
              <w:rPr>
                <w:rFonts w:ascii="EYInterstate Light" w:hAnsi="EYInterstate Light"/>
                <w:color w:val="000000" w:themeColor="text1"/>
                <w:szCs w:val="21"/>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t>3</w:t>
            </w:r>
          </w:p>
        </w:tc>
        <w:tc>
          <w:tcPr>
            <w:tcW w:w="1750" w:type="dxa"/>
            <w:vAlign w:val="center"/>
          </w:tcPr>
          <w:p>
            <w:pPr>
              <w:jc w:val="center"/>
              <w:rPr>
                <w:rFonts w:ascii="EYInterstate Light" w:hAnsi="EYInterstate Light"/>
                <w:color w:val="000000" w:themeColor="text1"/>
                <w:szCs w:val="21"/>
                <w14:textFill>
                  <w14:solidFill>
                    <w14:schemeClr w14:val="tx1"/>
                  </w14:solidFill>
                </w14:textFill>
              </w:rPr>
            </w:pPr>
          </w:p>
        </w:tc>
        <w:tc>
          <w:tcPr>
            <w:tcW w:w="2370" w:type="dxa"/>
            <w:vAlign w:val="center"/>
          </w:tcPr>
          <w:p>
            <w:pPr>
              <w:jc w:val="center"/>
              <w:rPr>
                <w:rFonts w:ascii="EYInterstate Light" w:hAnsi="EYInterstate Light"/>
                <w:color w:val="000000" w:themeColor="text1"/>
                <w:szCs w:val="21"/>
                <w14:textFill>
                  <w14:solidFill>
                    <w14:schemeClr w14:val="tx1"/>
                  </w14:solidFill>
                </w14:textFill>
              </w:rPr>
            </w:pPr>
          </w:p>
        </w:tc>
        <w:tc>
          <w:tcPr>
            <w:tcW w:w="2268" w:type="dxa"/>
            <w:vAlign w:val="center"/>
          </w:tcPr>
          <w:p>
            <w:pPr>
              <w:jc w:val="center"/>
              <w:rPr>
                <w:rFonts w:ascii="EYInterstate Light" w:hAnsi="EYInterstate Light"/>
                <w:color w:val="000000" w:themeColor="text1"/>
                <w:szCs w:val="21"/>
                <w14:textFill>
                  <w14:solidFill>
                    <w14:schemeClr w14:val="tx1"/>
                  </w14:solidFill>
                </w14:textFill>
              </w:rPr>
            </w:pPr>
          </w:p>
        </w:tc>
        <w:tc>
          <w:tcPr>
            <w:tcW w:w="1381" w:type="dxa"/>
            <w:vAlign w:val="center"/>
          </w:tcPr>
          <w:p>
            <w:pPr>
              <w:jc w:val="center"/>
              <w:rPr>
                <w:rFonts w:hint="eastAsia" w:ascii="EYInterstate Light" w:hAnsi="EYInterstate Light"/>
                <w:color w:val="000000" w:themeColor="text1"/>
                <w:szCs w:val="21"/>
                <w:lang w:val="en-US" w:eastAsia="zh-CN"/>
                <w14:textFill>
                  <w14:solidFill>
                    <w14:schemeClr w14:val="tx1"/>
                  </w14:solidFill>
                </w14:textFill>
              </w:rPr>
            </w:pPr>
            <w:r>
              <w:rPr>
                <w:rFonts w:ascii="EYInterstate Light" w:hAnsi="EYInterstate Light"/>
                <w:color w:val="000000" w:themeColor="text1"/>
                <w:szCs w:val="21"/>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正偏离</w:t>
            </w:r>
          </w:p>
          <w:p>
            <w:pPr>
              <w:jc w:val="center"/>
              <w:rPr>
                <w:rFonts w:ascii="EYInterstate Light" w:hAnsi="EYInterstate Light"/>
                <w:color w:val="000000" w:themeColor="text1"/>
                <w:szCs w:val="21"/>
                <w14:textFill>
                  <w14:solidFill>
                    <w14:schemeClr w14:val="tx1"/>
                  </w14:solidFill>
                </w14:textFill>
              </w:rPr>
            </w:pPr>
            <w:r>
              <w:rPr>
                <w:rFonts w:hint="eastAsia" w:ascii="EYInterstate Light" w:hAnsi="EYInterstate Light"/>
                <w:color w:val="000000" w:themeColor="text1"/>
                <w:szCs w:val="21"/>
                <w:lang w:val="en-US" w:eastAsia="zh-CN"/>
                <w14:textFill>
                  <w14:solidFill>
                    <w14:schemeClr w14:val="tx1"/>
                  </w14:solidFill>
                </w14:textFill>
              </w:rPr>
              <w:sym w:font="Wingdings" w:char="00A8"/>
            </w:r>
            <w:r>
              <w:rPr>
                <w:rFonts w:hint="eastAsia" w:ascii="EYInterstate Light" w:hAnsi="EYInterstate Light"/>
                <w:color w:val="000000" w:themeColor="text1"/>
                <w:szCs w:val="21"/>
                <w:lang w:val="en-US" w:eastAsia="zh-CN"/>
                <w14:textFill>
                  <w14:solidFill>
                    <w14:schemeClr w14:val="tx1"/>
                  </w14:solidFill>
                </w14:textFill>
              </w:rPr>
              <w:t>负偏离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c>
          <w:tcPr>
            <w:tcW w:w="686" w:type="dxa"/>
          </w:tcPr>
          <w:p>
            <w:pPr>
              <w:rPr>
                <w:rFonts w:ascii="EYInterstate Light" w:hAnsi="EYInterstate Light"/>
                <w:color w:val="000000" w:themeColor="text1"/>
                <w:szCs w:val="21"/>
                <w14:textFill>
                  <w14:solidFill>
                    <w14:schemeClr w14:val="tx1"/>
                  </w14:solidFill>
                </w14:textFill>
              </w:rPr>
            </w:pPr>
          </w:p>
          <w:p>
            <w:pPr>
              <w:rPr>
                <w:rFonts w:ascii="EYInterstate Light" w:hAnsi="EYInterstate Light"/>
                <w:color w:val="000000" w:themeColor="text1"/>
                <w:szCs w:val="21"/>
                <w14:textFill>
                  <w14:solidFill>
                    <w14:schemeClr w14:val="tx1"/>
                  </w14:solidFill>
                </w14:textFill>
              </w:rPr>
            </w:pPr>
          </w:p>
        </w:tc>
        <w:tc>
          <w:tcPr>
            <w:tcW w:w="1750" w:type="dxa"/>
          </w:tcPr>
          <w:p>
            <w:pPr>
              <w:rPr>
                <w:rFonts w:ascii="EYInterstate Light" w:hAnsi="EYInterstate Light"/>
                <w:color w:val="000000" w:themeColor="text1"/>
                <w:szCs w:val="21"/>
                <w14:textFill>
                  <w14:solidFill>
                    <w14:schemeClr w14:val="tx1"/>
                  </w14:solidFill>
                </w14:textFill>
              </w:rPr>
            </w:pPr>
          </w:p>
        </w:tc>
        <w:tc>
          <w:tcPr>
            <w:tcW w:w="2370" w:type="dxa"/>
          </w:tcPr>
          <w:p>
            <w:pPr>
              <w:rPr>
                <w:rFonts w:ascii="EYInterstate Light" w:hAnsi="EYInterstate Light"/>
                <w:color w:val="000000" w:themeColor="text1"/>
                <w:szCs w:val="21"/>
                <w14:textFill>
                  <w14:solidFill>
                    <w14:schemeClr w14:val="tx1"/>
                  </w14:solidFill>
                </w14:textFill>
              </w:rPr>
            </w:pPr>
          </w:p>
        </w:tc>
        <w:tc>
          <w:tcPr>
            <w:tcW w:w="2268" w:type="dxa"/>
          </w:tcPr>
          <w:p>
            <w:pPr>
              <w:rPr>
                <w:rFonts w:ascii="EYInterstate Light" w:hAnsi="EYInterstate Light"/>
                <w:color w:val="000000" w:themeColor="text1"/>
                <w:szCs w:val="21"/>
                <w14:textFill>
                  <w14:solidFill>
                    <w14:schemeClr w14:val="tx1"/>
                  </w14:solidFill>
                </w14:textFill>
              </w:rPr>
            </w:pPr>
          </w:p>
        </w:tc>
        <w:tc>
          <w:tcPr>
            <w:tcW w:w="1381" w:type="dxa"/>
          </w:tcPr>
          <w:p>
            <w:pPr>
              <w:rPr>
                <w:rFonts w:ascii="EYInterstate Light" w:hAnsi="EYInterstate Light"/>
                <w:color w:val="000000" w:themeColor="text1"/>
                <w:szCs w:val="21"/>
                <w14:textFill>
                  <w14:solidFill>
                    <w14:schemeClr w14:val="tx1"/>
                  </w14:solidFill>
                </w14:textFill>
              </w:rPr>
            </w:pPr>
          </w:p>
        </w:tc>
      </w:tr>
    </w:tbl>
    <w:p>
      <w:pPr>
        <w:spacing w:after="120"/>
        <w:rPr>
          <w:rFonts w:ascii="EYInterstate Light" w:hAnsi="EYInterstate Light"/>
          <w:color w:val="000000" w:themeColor="text1"/>
          <w:szCs w:val="21"/>
          <w14:textFill>
            <w14:solidFill>
              <w14:schemeClr w14:val="tx1"/>
            </w14:solidFill>
          </w14:textFill>
        </w:rPr>
      </w:pPr>
    </w:p>
    <w:p>
      <w:pPr>
        <w:widowControl/>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投标人(盖公章或电子签章或合同章)：  </w:t>
      </w:r>
    </w:p>
    <w:p>
      <w:pPr>
        <w:pStyle w:val="34"/>
        <w:rPr>
          <w:rFonts w:hint="eastAsia" w:ascii="宋体" w:hAnsi="宋体" w:eastAsia="宋体" w:cs="宋体"/>
          <w:color w:val="000000" w:themeColor="text1"/>
          <w14:textFill>
            <w14:solidFill>
              <w14:schemeClr w14:val="tx1"/>
            </w14:solidFill>
          </w14:textFill>
        </w:rPr>
      </w:pPr>
    </w:p>
    <w:p>
      <w:pPr>
        <w:widowControl/>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  _______年________月______日</w:t>
      </w:r>
    </w:p>
    <w:p>
      <w:pPr>
        <w:rPr>
          <w:color w:val="000000" w:themeColor="text1"/>
          <w:szCs w:val="21"/>
          <w14:textFill>
            <w14:solidFill>
              <w14:schemeClr w14:val="tx1"/>
            </w14:solidFill>
          </w14:textFill>
        </w:rPr>
      </w:pPr>
    </w:p>
    <w:p>
      <w:pPr>
        <w:rPr>
          <w:rFonts w:ascii="EYInterstate Light" w:hAnsi="EYInterstate Light"/>
          <w:color w:val="000000" w:themeColor="text1"/>
          <w:sz w:val="24"/>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p>
    <w:p>
      <w:pPr>
        <w:bidi w:val="0"/>
        <w:jc w:val="center"/>
        <w:rPr>
          <w:rFonts w:hint="eastAsia" w:ascii="宋体" w:hAnsi="宋体" w:eastAsia="宋体" w:cs="宋体"/>
          <w:b/>
          <w:bCs/>
        </w:rPr>
      </w:pPr>
      <w:bookmarkStart w:id="689" w:name="_Toc534142836"/>
      <w:bookmarkStart w:id="690" w:name="_Toc371661600"/>
      <w:bookmarkStart w:id="691" w:name="_Toc53245912"/>
      <w:bookmarkStart w:id="692" w:name="_Toc368993667"/>
      <w:bookmarkStart w:id="693" w:name="_Toc90407532"/>
      <w:bookmarkStart w:id="694" w:name="_Toc371002599"/>
      <w:bookmarkStart w:id="695" w:name="_Toc371582606"/>
      <w:bookmarkStart w:id="696" w:name="_Toc46421295"/>
      <w:bookmarkStart w:id="697" w:name="_Toc85736464"/>
      <w:bookmarkStart w:id="698" w:name="_Toc70627004"/>
      <w:bookmarkStart w:id="699" w:name="_Toc85736262"/>
      <w:bookmarkStart w:id="700" w:name="_Toc85736558"/>
      <w:bookmarkStart w:id="701" w:name="_Toc371605527"/>
      <w:bookmarkStart w:id="702" w:name="_Toc53246103"/>
      <w:r>
        <w:rPr>
          <w:rFonts w:hint="eastAsia" w:ascii="宋体" w:hAnsi="宋体" w:eastAsia="宋体" w:cs="宋体"/>
          <w:b/>
          <w:bCs/>
        </w:rPr>
        <w:t>项目管理机构组成表</w:t>
      </w:r>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p>
    <w:p>
      <w:pPr>
        <w:snapToGrid w:val="0"/>
        <w:rPr>
          <w:rFonts w:ascii="EYInterstate Light" w:hAnsi="EYInterstate Light"/>
          <w:color w:val="000000" w:themeColor="text1"/>
          <w:sz w:val="24"/>
          <w14:textFill>
            <w14:solidFill>
              <w14:schemeClr w14:val="tx1"/>
            </w14:solidFill>
          </w14:textFill>
        </w:rPr>
      </w:pPr>
    </w:p>
    <w:tbl>
      <w:tblPr>
        <w:tblStyle w:val="48"/>
        <w:tblW w:w="850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34"/>
        <w:gridCol w:w="851"/>
        <w:gridCol w:w="1314"/>
        <w:gridCol w:w="813"/>
        <w:gridCol w:w="850"/>
        <w:gridCol w:w="750"/>
        <w:gridCol w:w="1175"/>
        <w:gridCol w:w="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709"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序号</w:t>
            </w:r>
          </w:p>
        </w:tc>
        <w:tc>
          <w:tcPr>
            <w:tcW w:w="1134"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姓名</w:t>
            </w:r>
          </w:p>
        </w:tc>
        <w:tc>
          <w:tcPr>
            <w:tcW w:w="851"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性別</w:t>
            </w:r>
          </w:p>
        </w:tc>
        <w:tc>
          <w:tcPr>
            <w:tcW w:w="1314"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职务/职称</w:t>
            </w:r>
          </w:p>
        </w:tc>
        <w:tc>
          <w:tcPr>
            <w:tcW w:w="813"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年龄</w:t>
            </w:r>
          </w:p>
        </w:tc>
        <w:tc>
          <w:tcPr>
            <w:tcW w:w="850"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学历</w:t>
            </w:r>
          </w:p>
        </w:tc>
        <w:tc>
          <w:tcPr>
            <w:tcW w:w="750"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专业</w:t>
            </w:r>
          </w:p>
        </w:tc>
        <w:tc>
          <w:tcPr>
            <w:tcW w:w="1175"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养老保险</w:t>
            </w:r>
          </w:p>
        </w:tc>
        <w:tc>
          <w:tcPr>
            <w:tcW w:w="912"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ind w:firstLine="420" w:firstLineChars="200"/>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709" w:type="dxa"/>
          </w:tcPr>
          <w:p>
            <w:pPr>
              <w:spacing w:line="360" w:lineRule="auto"/>
              <w:rPr>
                <w:rFonts w:ascii="EYInterstate Light" w:hAnsi="EYInterstate Light"/>
                <w:color w:val="000000" w:themeColor="text1"/>
                <w:szCs w:val="21"/>
                <w14:textFill>
                  <w14:solidFill>
                    <w14:schemeClr w14:val="tx1"/>
                  </w14:solidFill>
                </w14:textFill>
              </w:rPr>
            </w:pPr>
          </w:p>
        </w:tc>
        <w:tc>
          <w:tcPr>
            <w:tcW w:w="1134" w:type="dxa"/>
          </w:tcPr>
          <w:p>
            <w:pPr>
              <w:spacing w:line="360" w:lineRule="auto"/>
              <w:rPr>
                <w:rFonts w:ascii="EYInterstate Light" w:hAnsi="EYInterstate Light"/>
                <w:color w:val="000000" w:themeColor="text1"/>
                <w:szCs w:val="21"/>
                <w14:textFill>
                  <w14:solidFill>
                    <w14:schemeClr w14:val="tx1"/>
                  </w14:solidFill>
                </w14:textFill>
              </w:rPr>
            </w:pPr>
          </w:p>
        </w:tc>
        <w:tc>
          <w:tcPr>
            <w:tcW w:w="851" w:type="dxa"/>
          </w:tcPr>
          <w:p>
            <w:pPr>
              <w:spacing w:line="360" w:lineRule="auto"/>
              <w:rPr>
                <w:rFonts w:ascii="EYInterstate Light" w:hAnsi="EYInterstate Light"/>
                <w:color w:val="000000" w:themeColor="text1"/>
                <w:szCs w:val="21"/>
                <w14:textFill>
                  <w14:solidFill>
                    <w14:schemeClr w14:val="tx1"/>
                  </w14:solidFill>
                </w14:textFill>
              </w:rPr>
            </w:pPr>
          </w:p>
        </w:tc>
        <w:tc>
          <w:tcPr>
            <w:tcW w:w="1314" w:type="dxa"/>
          </w:tcPr>
          <w:p>
            <w:pPr>
              <w:spacing w:line="360" w:lineRule="auto"/>
              <w:rPr>
                <w:rFonts w:ascii="EYInterstate Light" w:hAnsi="EYInterstate Light"/>
                <w:color w:val="000000" w:themeColor="text1"/>
                <w:szCs w:val="21"/>
                <w14:textFill>
                  <w14:solidFill>
                    <w14:schemeClr w14:val="tx1"/>
                  </w14:solidFill>
                </w14:textFill>
              </w:rPr>
            </w:pPr>
          </w:p>
        </w:tc>
        <w:tc>
          <w:tcPr>
            <w:tcW w:w="813" w:type="dxa"/>
          </w:tcPr>
          <w:p>
            <w:pPr>
              <w:spacing w:line="360" w:lineRule="auto"/>
              <w:rPr>
                <w:rFonts w:ascii="EYInterstate Light" w:hAnsi="EYInterstate Light"/>
                <w:color w:val="000000" w:themeColor="text1"/>
                <w:szCs w:val="21"/>
                <w14:textFill>
                  <w14:solidFill>
                    <w14:schemeClr w14:val="tx1"/>
                  </w14:solidFill>
                </w14:textFill>
              </w:rPr>
            </w:pPr>
          </w:p>
        </w:tc>
        <w:tc>
          <w:tcPr>
            <w:tcW w:w="850" w:type="dxa"/>
          </w:tcPr>
          <w:p>
            <w:pPr>
              <w:spacing w:line="360" w:lineRule="auto"/>
              <w:rPr>
                <w:rFonts w:ascii="EYInterstate Light" w:hAnsi="EYInterstate Light"/>
                <w:color w:val="000000" w:themeColor="text1"/>
                <w:szCs w:val="21"/>
                <w14:textFill>
                  <w14:solidFill>
                    <w14:schemeClr w14:val="tx1"/>
                  </w14:solidFill>
                </w14:textFill>
              </w:rPr>
            </w:pPr>
          </w:p>
        </w:tc>
        <w:tc>
          <w:tcPr>
            <w:tcW w:w="750" w:type="dxa"/>
          </w:tcPr>
          <w:p>
            <w:pPr>
              <w:spacing w:line="360" w:lineRule="auto"/>
              <w:rPr>
                <w:rFonts w:ascii="EYInterstate Light" w:hAnsi="EYInterstate Light"/>
                <w:color w:val="000000" w:themeColor="text1"/>
                <w:szCs w:val="21"/>
                <w14:textFill>
                  <w14:solidFill>
                    <w14:schemeClr w14:val="tx1"/>
                  </w14:solidFill>
                </w14:textFill>
              </w:rPr>
            </w:pPr>
          </w:p>
        </w:tc>
        <w:tc>
          <w:tcPr>
            <w:tcW w:w="1175" w:type="dxa"/>
          </w:tcPr>
          <w:p>
            <w:pPr>
              <w:spacing w:line="360" w:lineRule="auto"/>
              <w:rPr>
                <w:rFonts w:ascii="EYInterstate Light" w:hAnsi="EYInterstate Light"/>
                <w:color w:val="000000" w:themeColor="text1"/>
                <w:szCs w:val="21"/>
                <w14:textFill>
                  <w14:solidFill>
                    <w14:schemeClr w14:val="tx1"/>
                  </w14:solidFill>
                </w14:textFill>
              </w:rPr>
            </w:pPr>
          </w:p>
        </w:tc>
        <w:tc>
          <w:tcPr>
            <w:tcW w:w="912" w:type="dxa"/>
          </w:tcPr>
          <w:p>
            <w:pPr>
              <w:spacing w:line="360" w:lineRule="auto"/>
              <w:rPr>
                <w:rFonts w:ascii="EYInterstate Light" w:hAnsi="EYInterstate Light"/>
                <w:color w:val="000000" w:themeColor="text1"/>
                <w:szCs w:val="21"/>
                <w14:textFill>
                  <w14:solidFill>
                    <w14:schemeClr w14:val="tx1"/>
                  </w14:solidFill>
                </w14:textFill>
              </w:rPr>
            </w:pPr>
          </w:p>
        </w:tc>
      </w:tr>
    </w:tbl>
    <w:p>
      <w:pPr>
        <w:snapToGrid w:val="0"/>
        <w:rPr>
          <w:rFonts w:ascii="EYInterstate Light" w:hAnsi="EYInterstate Light"/>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投标人（盖公章或电子签章或合同章）         </w:t>
      </w:r>
    </w:p>
    <w:p>
      <w:pPr>
        <w:pStyle w:val="34"/>
        <w:spacing w:line="360" w:lineRule="auto"/>
        <w:rPr>
          <w:rFonts w:hint="eastAsia" w:ascii="宋体" w:hAnsi="宋体" w:eastAsia="宋体" w:cs="宋体"/>
          <w:color w:val="000000" w:themeColor="text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日期：     年   月   日               </w:t>
      </w:r>
    </w:p>
    <w:p>
      <w:pPr>
        <w:snapToGrid w:val="0"/>
        <w:spacing w:line="360" w:lineRule="auto"/>
        <w:rPr>
          <w:rFonts w:hint="eastAsia" w:ascii="宋体" w:hAnsi="宋体" w:eastAsia="宋体" w:cs="宋体"/>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注：本表仅限于投标人拟实施本招标项目的组织管理机构成员。本表格可以按照同样的格式扩展，后附相关人员的相关职称、执业资格、岗位证书。</w:t>
      </w:r>
    </w:p>
    <w:p>
      <w:pPr>
        <w:snapToGrid w:val="0"/>
        <w:rPr>
          <w:rFonts w:ascii="EYInterstate Light" w:hAnsi="EYInterstate Light"/>
          <w:color w:val="000000" w:themeColor="text1"/>
          <w:sz w:val="24"/>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p>
    <w:p>
      <w:pPr>
        <w:bidi w:val="0"/>
        <w:jc w:val="center"/>
        <w:rPr>
          <w:rFonts w:hint="eastAsia" w:ascii="宋体" w:hAnsi="宋体" w:eastAsia="宋体" w:cs="宋体"/>
        </w:rPr>
      </w:pPr>
      <w:bookmarkStart w:id="703" w:name="_Toc53245913"/>
      <w:bookmarkStart w:id="704" w:name="_Toc371661601"/>
      <w:bookmarkStart w:id="705" w:name="_Toc368993668"/>
      <w:bookmarkStart w:id="706" w:name="_Toc371002600"/>
      <w:bookmarkStart w:id="707" w:name="_Toc371605528"/>
      <w:bookmarkStart w:id="708" w:name="_Toc70627005"/>
      <w:bookmarkStart w:id="709" w:name="_Toc85736559"/>
      <w:bookmarkStart w:id="710" w:name="_Toc46421296"/>
      <w:bookmarkStart w:id="711" w:name="_Toc90407533"/>
      <w:bookmarkStart w:id="712" w:name="_Toc85736465"/>
      <w:bookmarkStart w:id="713" w:name="_Toc371582607"/>
      <w:bookmarkStart w:id="714" w:name="_Toc53246104"/>
      <w:bookmarkStart w:id="715" w:name="_Toc85736263"/>
      <w:bookmarkStart w:id="716" w:name="_Toc534142837"/>
      <w:r>
        <w:rPr>
          <w:rFonts w:hint="eastAsia" w:ascii="宋体" w:hAnsi="宋体" w:eastAsia="宋体" w:cs="宋体"/>
        </w:rPr>
        <w:t>主要人员简历表</w:t>
      </w:r>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p>
    <w:p>
      <w:pPr>
        <w:rPr>
          <w:rFonts w:ascii="EYInterstate Light" w:hAnsi="EYInterstate Light"/>
          <w:color w:val="000000" w:themeColor="text1"/>
          <w14:textFill>
            <w14:solidFill>
              <w14:schemeClr w14:val="tx1"/>
            </w14:solidFill>
          </w14:textFill>
        </w:rPr>
      </w:pPr>
    </w:p>
    <w:p>
      <w:pPr>
        <w:snapToGrid w:val="0"/>
        <w:rPr>
          <w:rFonts w:ascii="EYInterstate Light" w:hAnsi="EYInterstate Light"/>
          <w:color w:val="000000" w:themeColor="text1"/>
          <w:sz w:val="24"/>
          <w14:textFill>
            <w14:solidFill>
              <w14:schemeClr w14:val="tx1"/>
            </w14:solidFill>
          </w14:textFill>
        </w:rPr>
      </w:pPr>
    </w:p>
    <w:tbl>
      <w:tblPr>
        <w:tblStyle w:val="48"/>
        <w:tblW w:w="850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1625"/>
        <w:gridCol w:w="700"/>
        <w:gridCol w:w="1162"/>
        <w:gridCol w:w="563"/>
        <w:gridCol w:w="900"/>
        <w:gridCol w:w="800"/>
        <w:gridCol w:w="1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21"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姓名</w:t>
            </w:r>
          </w:p>
        </w:tc>
        <w:tc>
          <w:tcPr>
            <w:tcW w:w="1625" w:type="dxa"/>
          </w:tcPr>
          <w:p>
            <w:pPr>
              <w:spacing w:line="360" w:lineRule="auto"/>
              <w:rPr>
                <w:rFonts w:hint="eastAsia" w:ascii="宋体" w:hAnsi="宋体" w:eastAsia="宋体" w:cs="宋体"/>
                <w:color w:val="000000" w:themeColor="text1"/>
                <w:szCs w:val="21"/>
                <w14:textFill>
                  <w14:solidFill>
                    <w14:schemeClr w14:val="tx1"/>
                  </w14:solidFill>
                </w14:textFill>
              </w:rPr>
            </w:pPr>
          </w:p>
        </w:tc>
        <w:tc>
          <w:tcPr>
            <w:tcW w:w="700"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年龄</w:t>
            </w:r>
          </w:p>
        </w:tc>
        <w:tc>
          <w:tcPr>
            <w:tcW w:w="1725" w:type="dxa"/>
            <w:gridSpan w:val="2"/>
          </w:tcPr>
          <w:p>
            <w:pPr>
              <w:spacing w:line="360" w:lineRule="auto"/>
              <w:rPr>
                <w:rFonts w:hint="eastAsia" w:ascii="宋体" w:hAnsi="宋体" w:eastAsia="宋体" w:cs="宋体"/>
                <w:color w:val="000000" w:themeColor="text1"/>
                <w:szCs w:val="21"/>
                <w14:textFill>
                  <w14:solidFill>
                    <w14:schemeClr w14:val="tx1"/>
                  </w14:solidFill>
                </w14:textFill>
              </w:rPr>
            </w:pPr>
          </w:p>
        </w:tc>
        <w:tc>
          <w:tcPr>
            <w:tcW w:w="1700" w:type="dxa"/>
            <w:gridSpan w:val="2"/>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学          历</w:t>
            </w:r>
          </w:p>
        </w:tc>
        <w:tc>
          <w:tcPr>
            <w:tcW w:w="1637" w:type="dxa"/>
          </w:tcPr>
          <w:p>
            <w:pPr>
              <w:spacing w:line="360" w:lineRule="auto"/>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121"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职称</w:t>
            </w:r>
          </w:p>
        </w:tc>
        <w:tc>
          <w:tcPr>
            <w:tcW w:w="1625" w:type="dxa"/>
          </w:tcPr>
          <w:p>
            <w:pPr>
              <w:spacing w:line="360" w:lineRule="auto"/>
              <w:rPr>
                <w:rFonts w:hint="eastAsia" w:ascii="宋体" w:hAnsi="宋体" w:eastAsia="宋体" w:cs="宋体"/>
                <w:color w:val="000000" w:themeColor="text1"/>
                <w:szCs w:val="21"/>
                <w14:textFill>
                  <w14:solidFill>
                    <w14:schemeClr w14:val="tx1"/>
                  </w14:solidFill>
                </w14:textFill>
              </w:rPr>
            </w:pPr>
          </w:p>
        </w:tc>
        <w:tc>
          <w:tcPr>
            <w:tcW w:w="700"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职务</w:t>
            </w:r>
          </w:p>
        </w:tc>
        <w:tc>
          <w:tcPr>
            <w:tcW w:w="1725" w:type="dxa"/>
            <w:gridSpan w:val="2"/>
          </w:tcPr>
          <w:p>
            <w:pPr>
              <w:spacing w:line="360" w:lineRule="auto"/>
              <w:rPr>
                <w:rFonts w:hint="eastAsia" w:ascii="宋体" w:hAnsi="宋体" w:eastAsia="宋体" w:cs="宋体"/>
                <w:color w:val="000000" w:themeColor="text1"/>
                <w:szCs w:val="21"/>
                <w14:textFill>
                  <w14:solidFill>
                    <w14:schemeClr w14:val="tx1"/>
                  </w14:solidFill>
                </w14:textFill>
              </w:rPr>
            </w:pPr>
          </w:p>
        </w:tc>
        <w:tc>
          <w:tcPr>
            <w:tcW w:w="1700" w:type="dxa"/>
            <w:gridSpan w:val="2"/>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拟在本合同任职</w:t>
            </w:r>
          </w:p>
        </w:tc>
        <w:tc>
          <w:tcPr>
            <w:tcW w:w="1637" w:type="dxa"/>
          </w:tcPr>
          <w:p>
            <w:pPr>
              <w:spacing w:line="360" w:lineRule="auto"/>
              <w:rPr>
                <w:rFonts w:hint="eastAsia" w:ascii="宋体" w:hAnsi="宋体" w:eastAsia="宋体" w:cs="宋体"/>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121"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毕业学校</w:t>
            </w:r>
          </w:p>
        </w:tc>
        <w:tc>
          <w:tcPr>
            <w:tcW w:w="7387" w:type="dxa"/>
            <w:gridSpan w:val="7"/>
          </w:tcPr>
          <w:p>
            <w:pPr>
              <w:spacing w:line="360" w:lineRule="auto"/>
              <w:ind w:firstLine="525" w:firstLineChars="250"/>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8508" w:type="dxa"/>
            <w:gridSpan w:val="8"/>
          </w:tcPr>
          <w:p>
            <w:pPr>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21" w:type="dxa"/>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时间</w:t>
            </w:r>
          </w:p>
        </w:tc>
        <w:tc>
          <w:tcPr>
            <w:tcW w:w="3487" w:type="dxa"/>
            <w:gridSpan w:val="3"/>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参加过的类似项目</w:t>
            </w:r>
          </w:p>
        </w:tc>
        <w:tc>
          <w:tcPr>
            <w:tcW w:w="1463" w:type="dxa"/>
            <w:gridSpan w:val="2"/>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担任职务</w:t>
            </w:r>
          </w:p>
        </w:tc>
        <w:tc>
          <w:tcPr>
            <w:tcW w:w="2437" w:type="dxa"/>
            <w:gridSpan w:val="2"/>
            <w:vAlign w:val="center"/>
          </w:tcPr>
          <w:p>
            <w:pPr>
              <w:spacing w:line="360" w:lineRule="auto"/>
              <w:jc w:val="center"/>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业主证明人及联系电话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121" w:type="dxa"/>
          </w:tcPr>
          <w:p>
            <w:pPr>
              <w:spacing w:line="360" w:lineRule="auto"/>
              <w:rPr>
                <w:rFonts w:ascii="EYInterstate Light" w:hAnsi="EYInterstate Light"/>
                <w:color w:val="000000" w:themeColor="text1"/>
                <w:szCs w:val="21"/>
                <w14:textFill>
                  <w14:solidFill>
                    <w14:schemeClr w14:val="tx1"/>
                  </w14:solidFill>
                </w14:textFill>
              </w:rPr>
            </w:pPr>
          </w:p>
        </w:tc>
        <w:tc>
          <w:tcPr>
            <w:tcW w:w="3487" w:type="dxa"/>
            <w:gridSpan w:val="3"/>
          </w:tcPr>
          <w:p>
            <w:pPr>
              <w:spacing w:line="360" w:lineRule="auto"/>
              <w:rPr>
                <w:rFonts w:ascii="EYInterstate Light" w:hAnsi="EYInterstate Light"/>
                <w:color w:val="000000" w:themeColor="text1"/>
                <w:szCs w:val="21"/>
                <w14:textFill>
                  <w14:solidFill>
                    <w14:schemeClr w14:val="tx1"/>
                  </w14:solidFill>
                </w14:textFill>
              </w:rPr>
            </w:pPr>
          </w:p>
        </w:tc>
        <w:tc>
          <w:tcPr>
            <w:tcW w:w="1463" w:type="dxa"/>
            <w:gridSpan w:val="2"/>
          </w:tcPr>
          <w:p>
            <w:pPr>
              <w:spacing w:line="360" w:lineRule="auto"/>
              <w:rPr>
                <w:rFonts w:ascii="EYInterstate Light" w:hAnsi="EYInterstate Light"/>
                <w:color w:val="000000" w:themeColor="text1"/>
                <w:szCs w:val="21"/>
                <w14:textFill>
                  <w14:solidFill>
                    <w14:schemeClr w14:val="tx1"/>
                  </w14:solidFill>
                </w14:textFill>
              </w:rPr>
            </w:pPr>
          </w:p>
        </w:tc>
        <w:tc>
          <w:tcPr>
            <w:tcW w:w="2437" w:type="dxa"/>
            <w:gridSpan w:val="2"/>
          </w:tcPr>
          <w:p>
            <w:pPr>
              <w:spacing w:line="360" w:lineRule="auto"/>
              <w:rPr>
                <w:rFonts w:ascii="EYInterstate Light" w:hAnsi="EYInterstate Light"/>
                <w:color w:val="000000" w:themeColor="text1"/>
                <w:szCs w:val="21"/>
                <w14:textFill>
                  <w14:solidFill>
                    <w14:schemeClr w14:val="tx1"/>
                  </w14:solidFill>
                </w14:textFill>
              </w:rPr>
            </w:pPr>
          </w:p>
        </w:tc>
      </w:tr>
    </w:tbl>
    <w:p>
      <w:pPr>
        <w:snapToGrid w:val="0"/>
        <w:rPr>
          <w:rFonts w:ascii="EYInterstate Light" w:hAnsi="EYInterstate Light"/>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 xml:space="preserve">投标人（盖公章或电子签章或合同章）           </w:t>
      </w:r>
    </w:p>
    <w:p>
      <w:pPr>
        <w:snapToGrid w:val="0"/>
        <w:spacing w:line="360" w:lineRule="auto"/>
        <w:rPr>
          <w:rFonts w:hint="eastAsia" w:ascii="宋体" w:hAnsi="宋体" w:eastAsia="宋体" w:cs="宋体"/>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日期：     年   月   日</w:t>
      </w:r>
    </w:p>
    <w:p>
      <w:pPr>
        <w:snapToGrid w:val="0"/>
        <w:spacing w:line="360" w:lineRule="auto"/>
        <w:rPr>
          <w:rFonts w:hint="eastAsia" w:ascii="宋体" w:hAnsi="宋体" w:eastAsia="宋体" w:cs="宋体"/>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Cs w:val="21"/>
          <w14:textFill>
            <w14:solidFill>
              <w14:schemeClr w14:val="tx1"/>
            </w14:solidFill>
          </w14:textFill>
        </w:rPr>
      </w:pPr>
    </w:p>
    <w:p>
      <w:pPr>
        <w:snapToGrid w:val="0"/>
        <w:spacing w:line="360" w:lineRule="auto"/>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注：“主要人员简历表”中的项目负责人应附项目负责人任命书、身份证、职称证、学历证、养老保险复印件，负责过的项目业绩须附合同协议书复印件；其他主要人员应附养老保险复印件。一人一表。</w:t>
      </w:r>
    </w:p>
    <w:p>
      <w:pPr>
        <w:snapToGrid w:val="0"/>
        <w:rPr>
          <w:rFonts w:ascii="EYInterstate Light" w:hAnsi="EYInterstate Light"/>
          <w:color w:val="000000" w:themeColor="text1"/>
          <w:sz w:val="24"/>
          <w14:textFill>
            <w14:solidFill>
              <w14:schemeClr w14:val="tx1"/>
            </w14:solidFill>
          </w14:textFill>
        </w:rPr>
      </w:pPr>
    </w:p>
    <w:p>
      <w:pPr>
        <w:widowControl/>
        <w:jc w:val="left"/>
        <w:rPr>
          <w:rFonts w:ascii="EYInterstate Light" w:hAnsi="EYInterstate Light"/>
          <w:color w:val="000000" w:themeColor="text1"/>
          <w:sz w:val="24"/>
          <w14:textFill>
            <w14:solidFill>
              <w14:schemeClr w14:val="tx1"/>
            </w14:solidFill>
          </w14:textFill>
        </w:rPr>
      </w:pPr>
      <w:r>
        <w:rPr>
          <w:rFonts w:ascii="EYInterstate Light" w:hAnsi="EYInterstate Light"/>
          <w:color w:val="000000" w:themeColor="text1"/>
          <w:sz w:val="24"/>
          <w14:textFill>
            <w14:solidFill>
              <w14:schemeClr w14:val="tx1"/>
            </w14:solidFill>
          </w14:textFill>
        </w:rPr>
        <w:br w:type="page"/>
      </w:r>
    </w:p>
    <w:bookmarkEnd w:id="652"/>
    <w:p>
      <w:pPr>
        <w:pStyle w:val="6"/>
        <w:bidi w:val="0"/>
        <w:rPr>
          <w:rFonts w:hint="eastAsia" w:ascii="宋体" w:hAnsi="宋体" w:cs="宋体"/>
          <w:lang w:val="en-US" w:eastAsia="zh-CN"/>
        </w:rPr>
        <w:sectPr>
          <w:pgSz w:w="11906" w:h="16838"/>
          <w:pgMar w:top="1440" w:right="1701" w:bottom="1440" w:left="1701" w:header="851" w:footer="992" w:gutter="0"/>
          <w:pgBorders>
            <w:top w:val="none" w:sz="0" w:space="0"/>
            <w:left w:val="none" w:sz="0" w:space="0"/>
            <w:bottom w:val="none" w:sz="0" w:space="0"/>
            <w:right w:val="none" w:sz="0" w:space="0"/>
          </w:pgBorders>
          <w:cols w:space="720" w:num="1"/>
          <w:docGrid w:type="linesAndChars" w:linePitch="380" w:charSpace="0"/>
        </w:sectPr>
      </w:pPr>
      <w:bookmarkStart w:id="717" w:name="_Toc21185"/>
      <w:bookmarkStart w:id="718" w:name="_Toc1523"/>
      <w:bookmarkStart w:id="719" w:name="_Toc53245915"/>
      <w:bookmarkStart w:id="720" w:name="_Toc1072"/>
      <w:bookmarkStart w:id="721" w:name="_Toc2946"/>
      <w:bookmarkStart w:id="722" w:name="_Toc23511"/>
      <w:bookmarkStart w:id="723" w:name="_Toc534142845"/>
      <w:bookmarkStart w:id="724" w:name="_Toc46421298"/>
      <w:bookmarkStart w:id="725" w:name="_Toc16879"/>
      <w:bookmarkStart w:id="726" w:name="_Toc20282"/>
      <w:bookmarkStart w:id="727" w:name="_Toc368993681"/>
      <w:bookmarkStart w:id="728" w:name="_Toc17714"/>
      <w:bookmarkStart w:id="729" w:name="_Toc14996"/>
      <w:bookmarkStart w:id="730" w:name="_Toc371002613"/>
    </w:p>
    <w:p>
      <w:pPr>
        <w:snapToGrid w:val="0"/>
        <w:spacing w:line="360" w:lineRule="auto"/>
        <w:jc w:val="center"/>
        <w:rPr>
          <w:rFonts w:hint="eastAsia" w:ascii="宋体" w:hAnsi="宋体" w:eastAsia="宋体" w:cs="宋体"/>
          <w:b/>
          <w:bCs/>
          <w:sz w:val="32"/>
          <w:szCs w:val="32"/>
        </w:rPr>
      </w:pPr>
      <w:r>
        <w:rPr>
          <w:rFonts w:hint="eastAsia" w:ascii="宋体" w:hAnsi="宋体" w:eastAsia="宋体" w:cs="宋体"/>
          <w:b/>
          <w:bCs/>
          <w:sz w:val="32"/>
          <w:szCs w:val="32"/>
        </w:rPr>
        <w:t>技术、商务、资信及其他分自评表</w:t>
      </w:r>
    </w:p>
    <w:p>
      <w:pPr>
        <w:pStyle w:val="20"/>
        <w:autoSpaceDE/>
        <w:autoSpaceDN/>
        <w:spacing w:after="0" w:line="360" w:lineRule="auto"/>
        <w:ind w:left="0" w:firstLine="0" w:firstLineChars="0"/>
        <w:jc w:val="left"/>
        <w:rPr>
          <w:rFonts w:hint="eastAsia" w:ascii="宋体" w:hAnsi="宋体" w:eastAsia="宋体" w:cs="宋体"/>
          <w:b/>
          <w:sz w:val="28"/>
          <w:szCs w:val="28"/>
          <w:lang w:eastAsia="zh-CN"/>
        </w:rPr>
      </w:pPr>
      <w:r>
        <w:rPr>
          <w:rFonts w:hint="eastAsia" w:ascii="宋体" w:hAnsi="宋体" w:eastAsia="宋体" w:cs="宋体"/>
          <w:b/>
          <w:sz w:val="28"/>
          <w:szCs w:val="28"/>
        </w:rPr>
        <w:t>投标人名称</w:t>
      </w:r>
      <w:r>
        <w:rPr>
          <w:rFonts w:hint="eastAsia" w:ascii="宋体" w:hAnsi="宋体" w:eastAsia="宋体" w:cs="宋体"/>
          <w:b/>
          <w:sz w:val="28"/>
          <w:szCs w:val="28"/>
          <w:lang w:eastAsia="zh-CN"/>
        </w:rPr>
        <w:t>：</w:t>
      </w:r>
    </w:p>
    <w:tbl>
      <w:tblPr>
        <w:tblStyle w:val="48"/>
        <w:tblW w:w="8982" w:type="dxa"/>
        <w:tblInd w:w="-1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3"/>
        <w:gridCol w:w="1359"/>
        <w:gridCol w:w="3742"/>
        <w:gridCol w:w="1549"/>
        <w:gridCol w:w="1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trPr>
        <w:tc>
          <w:tcPr>
            <w:tcW w:w="2382" w:type="dxa"/>
            <w:gridSpan w:val="2"/>
            <w:vAlign w:val="center"/>
          </w:tcPr>
          <w:p>
            <w:pPr>
              <w:spacing w:line="360" w:lineRule="auto"/>
              <w:jc w:val="center"/>
              <w:rPr>
                <w:rFonts w:hint="eastAsia" w:ascii="宋体" w:hAnsi="宋体"/>
                <w:b/>
                <w:bCs/>
                <w:sz w:val="24"/>
              </w:rPr>
            </w:pPr>
            <w:r>
              <w:rPr>
                <w:rFonts w:hint="eastAsia" w:ascii="宋体" w:hAnsi="宋体"/>
                <w:b/>
                <w:bCs/>
                <w:sz w:val="24"/>
              </w:rPr>
              <w:t>评分项目</w:t>
            </w:r>
          </w:p>
        </w:tc>
        <w:tc>
          <w:tcPr>
            <w:tcW w:w="3742" w:type="dxa"/>
            <w:vMerge w:val="restart"/>
            <w:vAlign w:val="center"/>
          </w:tcPr>
          <w:p>
            <w:pPr>
              <w:snapToGrid w:val="0"/>
              <w:spacing w:line="360" w:lineRule="auto"/>
              <w:jc w:val="center"/>
              <w:rPr>
                <w:rFonts w:ascii="宋体" w:hAnsi="宋体"/>
                <w:b/>
                <w:bCs/>
                <w:sz w:val="24"/>
              </w:rPr>
            </w:pPr>
            <w:r>
              <w:rPr>
                <w:rFonts w:hint="eastAsia" w:ascii="宋体" w:hAnsi="宋体"/>
                <w:b/>
                <w:bCs/>
                <w:sz w:val="24"/>
              </w:rPr>
              <w:t>投标文件对应资料</w:t>
            </w:r>
          </w:p>
        </w:tc>
        <w:tc>
          <w:tcPr>
            <w:tcW w:w="1549" w:type="dxa"/>
            <w:vMerge w:val="restart"/>
            <w:vAlign w:val="center"/>
          </w:tcPr>
          <w:p>
            <w:pPr>
              <w:snapToGrid w:val="0"/>
              <w:spacing w:line="360" w:lineRule="auto"/>
              <w:jc w:val="center"/>
              <w:rPr>
                <w:rFonts w:hint="eastAsia" w:ascii="宋体" w:hAnsi="宋体" w:eastAsia="EYInterstate Light"/>
                <w:b/>
                <w:bCs/>
                <w:sz w:val="24"/>
                <w:lang w:eastAsia="zh-CN"/>
              </w:rPr>
            </w:pPr>
            <w:r>
              <w:rPr>
                <w:rFonts w:hint="eastAsia" w:ascii="宋体" w:hAnsi="宋体"/>
                <w:b/>
                <w:bCs/>
                <w:sz w:val="24"/>
              </w:rPr>
              <w:t>自评分</w:t>
            </w:r>
          </w:p>
        </w:tc>
        <w:tc>
          <w:tcPr>
            <w:tcW w:w="1309" w:type="dxa"/>
            <w:vMerge w:val="restart"/>
            <w:vAlign w:val="center"/>
          </w:tcPr>
          <w:p>
            <w:pPr>
              <w:snapToGrid w:val="0"/>
              <w:spacing w:line="360" w:lineRule="auto"/>
              <w:jc w:val="center"/>
              <w:rPr>
                <w:rFonts w:ascii="宋体" w:hAnsi="宋体"/>
                <w:b/>
                <w:bCs/>
                <w:sz w:val="24"/>
              </w:rPr>
            </w:pPr>
            <w:r>
              <w:rPr>
                <w:rFonts w:hint="eastAsia" w:ascii="宋体" w:hAnsi="宋体"/>
                <w:b/>
                <w:bCs/>
                <w:sz w:val="24"/>
              </w:rPr>
              <w:t>投标文件</w:t>
            </w:r>
            <w:r>
              <w:rPr>
                <w:rFonts w:hint="eastAsia" w:ascii="宋体" w:hAnsi="宋体"/>
                <w:b/>
                <w:bCs/>
                <w:sz w:val="24"/>
                <w:lang w:val="en-US" w:eastAsia="zh-CN"/>
              </w:rPr>
              <w:t>对应</w:t>
            </w:r>
            <w:r>
              <w:rPr>
                <w:rFonts w:hint="eastAsia" w:ascii="宋体" w:hAnsi="宋体"/>
                <w:b/>
                <w:bCs/>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5" w:hRule="atLeast"/>
        </w:trPr>
        <w:tc>
          <w:tcPr>
            <w:tcW w:w="1023" w:type="dxa"/>
            <w:vAlign w:val="center"/>
          </w:tcPr>
          <w:p>
            <w:pPr>
              <w:spacing w:line="360" w:lineRule="auto"/>
              <w:jc w:val="center"/>
              <w:rPr>
                <w:rFonts w:hint="eastAsia" w:ascii="宋体" w:hAnsi="宋体" w:eastAsia="EYInterstate Light"/>
                <w:b/>
                <w:bCs/>
                <w:sz w:val="24"/>
                <w:lang w:val="en-US" w:eastAsia="zh-CN"/>
              </w:rPr>
            </w:pPr>
            <w:r>
              <w:rPr>
                <w:rFonts w:hint="eastAsia" w:ascii="宋体" w:hAnsi="宋体"/>
                <w:b/>
                <w:bCs/>
                <w:sz w:val="24"/>
                <w:lang w:val="en-US" w:eastAsia="zh-CN"/>
              </w:rPr>
              <w:t>项目</w:t>
            </w:r>
          </w:p>
        </w:tc>
        <w:tc>
          <w:tcPr>
            <w:tcW w:w="1359" w:type="dxa"/>
            <w:vAlign w:val="center"/>
          </w:tcPr>
          <w:p>
            <w:pPr>
              <w:spacing w:line="360" w:lineRule="auto"/>
              <w:jc w:val="center"/>
              <w:rPr>
                <w:rFonts w:hint="eastAsia" w:ascii="宋体" w:hAnsi="宋体" w:eastAsia="EYInterstate Light"/>
                <w:b/>
                <w:bCs/>
                <w:sz w:val="24"/>
                <w:lang w:val="en-US" w:eastAsia="zh-CN"/>
              </w:rPr>
            </w:pPr>
            <w:r>
              <w:rPr>
                <w:rFonts w:hint="eastAsia" w:ascii="宋体" w:hAnsi="宋体"/>
                <w:b/>
                <w:bCs/>
                <w:sz w:val="24"/>
                <w:lang w:val="en-US" w:eastAsia="zh-CN"/>
              </w:rPr>
              <w:t>序号</w:t>
            </w:r>
          </w:p>
        </w:tc>
        <w:tc>
          <w:tcPr>
            <w:tcW w:w="3742" w:type="dxa"/>
            <w:vMerge w:val="continue"/>
            <w:vAlign w:val="center"/>
          </w:tcPr>
          <w:p>
            <w:pPr>
              <w:snapToGrid w:val="0"/>
              <w:spacing w:line="360" w:lineRule="auto"/>
              <w:jc w:val="center"/>
              <w:rPr>
                <w:rFonts w:hint="eastAsia" w:ascii="宋体" w:hAnsi="宋体"/>
                <w:sz w:val="24"/>
              </w:rPr>
            </w:pPr>
          </w:p>
        </w:tc>
        <w:tc>
          <w:tcPr>
            <w:tcW w:w="1549" w:type="dxa"/>
            <w:vMerge w:val="continue"/>
            <w:vAlign w:val="center"/>
          </w:tcPr>
          <w:p>
            <w:pPr>
              <w:snapToGrid w:val="0"/>
              <w:spacing w:line="360" w:lineRule="auto"/>
              <w:jc w:val="center"/>
              <w:rPr>
                <w:rFonts w:hint="eastAsia" w:ascii="宋体" w:hAnsi="宋体"/>
                <w:sz w:val="24"/>
              </w:rPr>
            </w:pPr>
          </w:p>
        </w:tc>
        <w:tc>
          <w:tcPr>
            <w:tcW w:w="1309" w:type="dxa"/>
            <w:vMerge w:val="continue"/>
            <w:vAlign w:val="center"/>
          </w:tcPr>
          <w:p>
            <w:pPr>
              <w:snapToGrid w:val="0"/>
              <w:spacing w:line="360" w:lineRule="auto"/>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023" w:type="dxa"/>
            <w:vMerge w:val="restart"/>
            <w:vAlign w:val="center"/>
          </w:tcPr>
          <w:p>
            <w:pPr>
              <w:spacing w:line="360" w:lineRule="auto"/>
              <w:jc w:val="center"/>
              <w:rPr>
                <w:rFonts w:ascii="宋体" w:hAnsi="宋体"/>
                <w:sz w:val="24"/>
              </w:rPr>
            </w:pPr>
            <w:r>
              <w:rPr>
                <w:rFonts w:hint="eastAsia" w:ascii="宋体" w:hAnsi="宋体"/>
                <w:sz w:val="24"/>
              </w:rPr>
              <w:t>技</w:t>
            </w:r>
          </w:p>
          <w:p>
            <w:pPr>
              <w:spacing w:line="360" w:lineRule="auto"/>
              <w:jc w:val="center"/>
              <w:rPr>
                <w:rFonts w:ascii="宋体" w:hAnsi="宋体"/>
                <w:sz w:val="24"/>
              </w:rPr>
            </w:pPr>
            <w:r>
              <w:rPr>
                <w:rFonts w:hint="eastAsia" w:ascii="宋体" w:hAnsi="宋体"/>
                <w:sz w:val="24"/>
              </w:rPr>
              <w:t>术</w:t>
            </w:r>
          </w:p>
          <w:p>
            <w:pPr>
              <w:spacing w:line="360" w:lineRule="auto"/>
              <w:jc w:val="center"/>
              <w:rPr>
                <w:rFonts w:hint="default" w:ascii="宋体" w:hAnsi="宋体" w:eastAsia="EYInterstate Light"/>
                <w:sz w:val="24"/>
                <w:lang w:val="en-US" w:eastAsia="zh-CN"/>
              </w:rPr>
            </w:pPr>
            <w:r>
              <w:rPr>
                <w:rFonts w:hint="eastAsia" w:ascii="宋体" w:hAnsi="宋体"/>
                <w:sz w:val="24"/>
              </w:rPr>
              <w:t>分</w:t>
            </w:r>
            <w:r>
              <w:rPr>
                <w:rFonts w:hint="eastAsia" w:ascii="宋体" w:hAnsi="宋体"/>
                <w:sz w:val="24"/>
                <w:lang w:val="en-US" w:eastAsia="zh-CN"/>
              </w:rPr>
              <w:t>67</w:t>
            </w:r>
          </w:p>
          <w:p>
            <w:pPr>
              <w:spacing w:line="360" w:lineRule="auto"/>
              <w:jc w:val="center"/>
              <w:rPr>
                <w:rFonts w:ascii="宋体" w:hAnsi="宋体"/>
                <w:sz w:val="24"/>
              </w:rPr>
            </w:pPr>
            <w:r>
              <w:rPr>
                <w:rFonts w:hint="eastAsia" w:ascii="宋体" w:hAnsi="宋体"/>
                <w:sz w:val="24"/>
              </w:rPr>
              <w:t>分</w:t>
            </w: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1</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1023" w:type="dxa"/>
            <w:vMerge w:val="continue"/>
            <w:vAlign w:val="center"/>
          </w:tcPr>
          <w:p>
            <w:pPr>
              <w:spacing w:line="360" w:lineRule="auto"/>
              <w:jc w:val="center"/>
              <w:rPr>
                <w:rFonts w:hint="eastAsia"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2</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3</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4</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5</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6</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trPr>
        <w:tc>
          <w:tcPr>
            <w:tcW w:w="1023" w:type="dxa"/>
            <w:vMerge w:val="restart"/>
            <w:vAlign w:val="center"/>
          </w:tcPr>
          <w:p>
            <w:pPr>
              <w:spacing w:line="360" w:lineRule="auto"/>
              <w:jc w:val="center"/>
              <w:rPr>
                <w:rFonts w:ascii="宋体" w:hAnsi="宋体"/>
                <w:sz w:val="24"/>
              </w:rPr>
            </w:pPr>
            <w:r>
              <w:rPr>
                <w:rFonts w:hint="eastAsia" w:ascii="宋体" w:hAnsi="宋体"/>
                <w:sz w:val="24"/>
              </w:rPr>
              <w:t>商务、资信及其他</w:t>
            </w:r>
          </w:p>
          <w:p>
            <w:pPr>
              <w:spacing w:line="360" w:lineRule="auto"/>
              <w:jc w:val="center"/>
              <w:rPr>
                <w:rFonts w:ascii="宋体" w:hAnsi="宋体"/>
                <w:sz w:val="24"/>
              </w:rPr>
            </w:pPr>
            <w:r>
              <w:rPr>
                <w:rFonts w:hint="eastAsia" w:ascii="宋体" w:hAnsi="宋体"/>
                <w:sz w:val="24"/>
              </w:rPr>
              <w:t>分</w:t>
            </w:r>
            <w:r>
              <w:rPr>
                <w:rFonts w:hint="eastAsia" w:ascii="宋体" w:hAnsi="宋体"/>
                <w:sz w:val="24"/>
                <w:lang w:val="en-US" w:eastAsia="zh-CN"/>
              </w:rPr>
              <w:t>33</w:t>
            </w:r>
            <w:r>
              <w:rPr>
                <w:rFonts w:hint="eastAsia" w:ascii="宋体" w:hAnsi="宋体"/>
                <w:sz w:val="24"/>
              </w:rPr>
              <w:t>分</w:t>
            </w: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7</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trPr>
        <w:tc>
          <w:tcPr>
            <w:tcW w:w="1023" w:type="dxa"/>
            <w:vMerge w:val="continue"/>
            <w:vAlign w:val="center"/>
          </w:tcPr>
          <w:p>
            <w:pPr>
              <w:spacing w:line="360" w:lineRule="auto"/>
              <w:jc w:val="center"/>
              <w:rPr>
                <w:rFonts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8</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eastAsia" w:ascii="宋体" w:hAnsi="宋体" w:eastAsia="EYInterstate Light"/>
                <w:sz w:val="24"/>
                <w:lang w:val="en-US" w:eastAsia="zh-CN"/>
              </w:rPr>
            </w:pPr>
            <w:r>
              <w:rPr>
                <w:rFonts w:hint="eastAsia" w:ascii="宋体" w:hAnsi="宋体"/>
                <w:sz w:val="24"/>
                <w:lang w:val="en-US" w:eastAsia="zh-CN"/>
              </w:rPr>
              <w:t>9</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1023" w:type="dxa"/>
            <w:vMerge w:val="continue"/>
          </w:tcPr>
          <w:p>
            <w:pPr>
              <w:spacing w:line="360" w:lineRule="auto"/>
              <w:rPr>
                <w:rFonts w:ascii="宋体" w:hAnsi="宋体"/>
                <w:sz w:val="24"/>
              </w:rPr>
            </w:pPr>
          </w:p>
        </w:tc>
        <w:tc>
          <w:tcPr>
            <w:tcW w:w="1359" w:type="dxa"/>
          </w:tcPr>
          <w:p>
            <w:pPr>
              <w:spacing w:line="360" w:lineRule="auto"/>
              <w:jc w:val="center"/>
              <w:rPr>
                <w:rFonts w:hint="default" w:ascii="宋体" w:hAnsi="宋体"/>
                <w:sz w:val="24"/>
                <w:lang w:val="en-US" w:eastAsia="zh-CN"/>
              </w:rPr>
            </w:pPr>
            <w:r>
              <w:rPr>
                <w:rFonts w:hint="eastAsia" w:ascii="宋体" w:hAnsi="宋体"/>
                <w:sz w:val="24"/>
                <w:lang w:val="en-US" w:eastAsia="zh-CN"/>
              </w:rPr>
              <w:t>10</w:t>
            </w:r>
          </w:p>
        </w:tc>
        <w:tc>
          <w:tcPr>
            <w:tcW w:w="3742" w:type="dxa"/>
          </w:tcPr>
          <w:p>
            <w:pPr>
              <w:spacing w:line="360" w:lineRule="auto"/>
              <w:rPr>
                <w:rFonts w:ascii="宋体" w:hAnsi="宋体"/>
                <w:sz w:val="24"/>
              </w:rPr>
            </w:pPr>
          </w:p>
        </w:tc>
        <w:tc>
          <w:tcPr>
            <w:tcW w:w="1549" w:type="dxa"/>
          </w:tcPr>
          <w:p>
            <w:pPr>
              <w:spacing w:line="360" w:lineRule="auto"/>
              <w:rPr>
                <w:rFonts w:ascii="宋体" w:hAnsi="宋体"/>
                <w:sz w:val="24"/>
              </w:rPr>
            </w:pPr>
          </w:p>
        </w:tc>
        <w:tc>
          <w:tcPr>
            <w:tcW w:w="1309" w:type="dxa"/>
          </w:tcPr>
          <w:p>
            <w:pPr>
              <w:spacing w:line="360" w:lineRule="auto"/>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382" w:type="dxa"/>
            <w:gridSpan w:val="2"/>
            <w:vAlign w:val="center"/>
          </w:tcPr>
          <w:p>
            <w:pPr>
              <w:spacing w:line="360" w:lineRule="auto"/>
              <w:jc w:val="center"/>
              <w:rPr>
                <w:rFonts w:hint="eastAsia" w:ascii="宋体" w:hAnsi="宋体" w:eastAsia="EYInterstate Light"/>
                <w:sz w:val="24"/>
                <w:lang w:eastAsia="zh-CN"/>
              </w:rPr>
            </w:pPr>
            <w:r>
              <w:rPr>
                <w:rFonts w:hint="eastAsia" w:ascii="宋体" w:hAnsi="宋体"/>
                <w:sz w:val="24"/>
              </w:rPr>
              <w:t>总分</w:t>
            </w:r>
            <w:r>
              <w:rPr>
                <w:rFonts w:hint="eastAsia" w:ascii="宋体" w:hAnsi="宋体"/>
                <w:sz w:val="24"/>
                <w:lang w:eastAsia="zh-CN"/>
              </w:rPr>
              <w:t>（</w:t>
            </w:r>
            <w:r>
              <w:rPr>
                <w:rFonts w:hint="eastAsia" w:ascii="宋体" w:hAnsi="宋体"/>
                <w:sz w:val="24"/>
                <w:lang w:val="en-US" w:eastAsia="zh-CN"/>
              </w:rPr>
              <w:t>满分100分</w:t>
            </w:r>
            <w:r>
              <w:rPr>
                <w:rFonts w:hint="eastAsia" w:ascii="宋体" w:hAnsi="宋体"/>
                <w:sz w:val="24"/>
                <w:lang w:eastAsia="zh-CN"/>
              </w:rPr>
              <w:t>）</w:t>
            </w:r>
          </w:p>
        </w:tc>
        <w:tc>
          <w:tcPr>
            <w:tcW w:w="6600" w:type="dxa"/>
            <w:gridSpan w:val="3"/>
          </w:tcPr>
          <w:p>
            <w:pPr>
              <w:spacing w:line="360" w:lineRule="auto"/>
              <w:rPr>
                <w:rFonts w:ascii="宋体" w:hAnsi="宋体"/>
                <w:sz w:val="24"/>
              </w:rPr>
            </w:pPr>
          </w:p>
        </w:tc>
      </w:tr>
    </w:tbl>
    <w:p>
      <w:pPr>
        <w:pStyle w:val="20"/>
        <w:spacing w:line="360" w:lineRule="auto"/>
        <w:ind w:firstLine="361" w:firstLineChars="129"/>
      </w:pPr>
    </w:p>
    <w:p>
      <w:pPr>
        <w:pStyle w:val="6"/>
        <w:bidi w:val="0"/>
        <w:rPr>
          <w:rFonts w:hint="eastAsia" w:ascii="宋体" w:hAnsi="宋体" w:cs="宋体"/>
          <w:lang w:val="en-US" w:eastAsia="zh-CN"/>
        </w:rPr>
        <w:sectPr>
          <w:pgSz w:w="11906" w:h="16838"/>
          <w:pgMar w:top="1440" w:right="1701" w:bottom="1440" w:left="1701" w:header="851" w:footer="992" w:gutter="0"/>
          <w:pgBorders>
            <w:top w:val="none" w:sz="0" w:space="0"/>
            <w:left w:val="none" w:sz="0" w:space="0"/>
            <w:bottom w:val="none" w:sz="0" w:space="0"/>
            <w:right w:val="none" w:sz="0" w:space="0"/>
          </w:pgBorders>
          <w:cols w:space="720" w:num="1"/>
          <w:docGrid w:type="linesAndChars" w:linePitch="380" w:charSpace="0"/>
        </w:sectPr>
      </w:pPr>
    </w:p>
    <w:p>
      <w:pPr>
        <w:pStyle w:val="6"/>
        <w:bidi w:val="0"/>
        <w:rPr>
          <w:rFonts w:hint="eastAsia" w:ascii="宋体" w:hAnsi="宋体" w:cs="宋体"/>
        </w:rPr>
      </w:pPr>
      <w:bookmarkStart w:id="731" w:name="_Toc2552"/>
      <w:bookmarkStart w:id="732" w:name="_Toc6703"/>
      <w:bookmarkStart w:id="733" w:name="_Toc1463"/>
      <w:r>
        <w:rPr>
          <w:rFonts w:hint="eastAsia" w:ascii="宋体" w:hAnsi="宋体" w:cs="宋体"/>
          <w:lang w:val="en-US" w:eastAsia="zh-CN"/>
        </w:rPr>
        <w:t>五、</w:t>
      </w:r>
      <w:r>
        <w:rPr>
          <w:rFonts w:hint="eastAsia" w:ascii="宋体" w:hAnsi="宋体" w:cs="宋体"/>
        </w:rPr>
        <w:t>其他材料</w:t>
      </w:r>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p>
    <w:p>
      <w:pPr>
        <w:adjustRightInd w:val="0"/>
        <w:snapToGrid w:val="0"/>
        <w:spacing w:beforeLines="50" w:afterLines="50" w:line="360" w:lineRule="auto"/>
        <w:outlineLvl w:val="0"/>
        <w:rPr>
          <w:color w:val="000000" w:themeColor="text1"/>
          <w14:textFill>
            <w14:solidFill>
              <w14:schemeClr w14:val="tx1"/>
            </w14:solidFill>
          </w14:textFill>
        </w:rPr>
      </w:pPr>
    </w:p>
    <w:p>
      <w:pPr>
        <w:spacing w:line="420" w:lineRule="exact"/>
        <w:jc w:val="center"/>
        <w:rPr>
          <w:rFonts w:ascii="EYInterstate Light" w:hAnsi="EYInterstate Light"/>
          <w:color w:val="000000" w:themeColor="text1"/>
          <w:sz w:val="28"/>
          <w:szCs w:val="28"/>
          <w14:textFill>
            <w14:solidFill>
              <w14:schemeClr w14:val="tx1"/>
            </w14:solidFill>
          </w14:textFill>
        </w:rPr>
      </w:pPr>
    </w:p>
    <w:p>
      <w:pPr>
        <w:spacing w:line="420" w:lineRule="exact"/>
        <w:jc w:val="center"/>
        <w:rPr>
          <w:rFonts w:ascii="EYInterstate Light" w:hAnsi="EYInterstate Light"/>
          <w:color w:val="000000" w:themeColor="text1"/>
          <w:sz w:val="28"/>
          <w:szCs w:val="28"/>
          <w14:textFill>
            <w14:solidFill>
              <w14:schemeClr w14:val="tx1"/>
            </w14:solidFill>
          </w14:textFill>
        </w:rPr>
      </w:pPr>
    </w:p>
    <w:sectPr>
      <w:pgSz w:w="11906" w:h="16838"/>
      <w:pgMar w:top="1440" w:right="1701" w:bottom="1440" w:left="1701" w:header="851" w:footer="992" w:gutter="0"/>
      <w:pgBorders>
        <w:top w:val="none" w:sz="0" w:space="0"/>
        <w:left w:val="none" w:sz="0" w:space="0"/>
        <w:bottom w:val="none" w:sz="0" w:space="0"/>
        <w:right w:val="none" w:sz="0" w:space="0"/>
      </w:pgBorders>
      <w:cols w:space="720" w:num="1"/>
      <w:docGrid w:type="linesAndChars"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EYInterstate Light">
    <w:altName w:val="宋体"/>
    <w:panose1 w:val="00000000000000000000"/>
    <w:charset w:val="86"/>
    <w:family w:val="auto"/>
    <w:pitch w:val="default"/>
    <w:sig w:usb0="00000000" w:usb1="00000000" w:usb2="00000000" w:usb3="00000000" w:csb0="0000009F"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 w:name="Cambria Math">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中圆体">
    <w:altName w:val="宋体"/>
    <w:panose1 w:val="00000000000000000000"/>
    <w:charset w:val="86"/>
    <w:family w:val="modern"/>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Century Gothic">
    <w:altName w:val="Century"/>
    <w:panose1 w:val="020B0502020202020204"/>
    <w:charset w:val="00"/>
    <w:family w:val="swiss"/>
    <w:pitch w:val="default"/>
    <w:sig w:usb0="00000000"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Times New Roman (正文 CS 字体)">
    <w:altName w:val="宋体"/>
    <w:panose1 w:val="00000000000000000000"/>
    <w:charset w:val="86"/>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Century">
    <w:panose1 w:val="02040604050505020304"/>
    <w:charset w:val="00"/>
    <w:family w:val="auto"/>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jc w:val="right"/>
      <w:rPr>
        <w:b/>
      </w:rPr>
    </w:pPr>
    <w:r>
      <w:rPr>
        <w:lang w:val="en-US"/>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2865" cy="137795"/>
              <wp:effectExtent l="0" t="0" r="0" b="0"/>
              <wp:wrapNone/>
              <wp:docPr id="4" name="Text Box 1059"/>
              <wp:cNvGraphicFramePr/>
              <a:graphic xmlns:a="http://schemas.openxmlformats.org/drawingml/2006/main">
                <a:graphicData uri="http://schemas.microsoft.com/office/word/2010/wordprocessingShape">
                  <wps:wsp>
                    <wps:cNvSpPr txBox="1">
                      <a:spLocks noChangeArrowheads="1"/>
                    </wps:cNvSpPr>
                    <wps:spPr bwMode="auto">
                      <a:xfrm>
                        <a:off x="0" y="0"/>
                        <a:ext cx="62865" cy="137795"/>
                      </a:xfrm>
                      <a:prstGeom prst="rect">
                        <a:avLst/>
                      </a:prstGeom>
                      <a:noFill/>
                      <a:ln>
                        <a:noFill/>
                      </a:ln>
                      <a:effectLst/>
                    </wps:spPr>
                    <wps:txbx>
                      <w:txbxContent>
                        <w:p>
                          <w:pPr>
                            <w:pStyle w:val="32"/>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Text Box 1059" o:spid="_x0000_s1026" o:spt="202" type="#_x0000_t202" style="position:absolute;left:0pt;margin-top:0pt;height:10.85pt;width:4.95pt;mso-position-horizontal:center;mso-position-horizontal-relative:margin;mso-wrap-style:none;z-index:251659264;mso-width-relative:page;mso-height-relative:page;" filled="f" stroked="f" coordsize="21600,21600" o:gfxdata="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2Y449EAAAACAQAADwAAAAAAAAABACAAAAAiAAAAZHJzL2Rvd25yZXYu&#10;eG1sUEsBAhQAFAAAAAgAh07iQLxRp3kCAgAAEQQAAA4AAAAAAAAAAQAgAAAAIAEAAGRycy9lMm9E&#10;b2MueG1sUEsFBgAAAAAGAAYAWQEAAJQFAAAAAA==&#10;">
              <v:fill on="f" focussize="0,0"/>
              <v:stroke on="f"/>
              <v:imagedata o:title=""/>
              <o:lock v:ext="edit" aspectratio="f"/>
              <v:textbox inset="0mm,0mm,0mm,0mm" style="mso-fit-shape-to-text:t;">
                <w:txbxContent>
                  <w:p>
                    <w:pPr>
                      <w:pStyle w:val="3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r>
      <w:rPr>
        <w:lang w:val="en-US"/>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62865" cy="137795"/>
              <wp:effectExtent l="0" t="0" r="0" b="0"/>
              <wp:wrapNone/>
              <wp:docPr id="3" name="Text Box 1060"/>
              <wp:cNvGraphicFramePr/>
              <a:graphic xmlns:a="http://schemas.openxmlformats.org/drawingml/2006/main">
                <a:graphicData uri="http://schemas.microsoft.com/office/word/2010/wordprocessingShape">
                  <wps:wsp>
                    <wps:cNvSpPr txBox="1">
                      <a:spLocks noChangeArrowheads="1"/>
                    </wps:cNvSpPr>
                    <wps:spPr bwMode="auto">
                      <a:xfrm>
                        <a:off x="0" y="0"/>
                        <a:ext cx="62865" cy="137795"/>
                      </a:xfrm>
                      <a:prstGeom prst="rect">
                        <a:avLst/>
                      </a:prstGeom>
                      <a:noFill/>
                      <a:ln>
                        <a:noFill/>
                      </a:ln>
                      <a:effectLst/>
                    </wps:spPr>
                    <wps:txbx>
                      <w:txbxContent>
                        <w:p>
                          <w:pPr>
                            <w:pStyle w:val="32"/>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Text Box 1060" o:spid="_x0000_s1026" o:spt="202" type="#_x0000_t202" style="position:absolute;left:0pt;margin-top:0pt;height:10.85pt;width:4.95pt;mso-position-horizontal:center;mso-position-horizontal-relative:margin;mso-wrap-style:none;z-index:251660288;mso-width-relative:page;mso-height-relative:page;" filled="f" stroked="f" coordsize="21600,21600" o:gfxdata="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NmOOPRAAAAAgEAAA8AAAAAAAAAAQAgAAAAIgAAAGRycy9kb3ducmV2Lnht&#10;bFBLAQIUABQAAAAIAIdO4kDUIDdUAAIAABEEAAAOAAAAAAAAAAEAIAAAACABAABkcnMvZTJvRG9j&#10;LnhtbFBLBQYAAAAABgAGAFkBAACSBQAAAAA=&#10;">
              <v:fill on="f" focussize="0,0"/>
              <v:stroke on="f"/>
              <v:imagedata o:title=""/>
              <o:lock v:ext="edit" aspectratio="f"/>
              <v:textbox inset="0mm,0mm,0mm,0mm" style="mso-fit-shape-to-text:t;">
                <w:txbxContent>
                  <w:p>
                    <w:pPr>
                      <w:pStyle w:val="32"/>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r>
      <w:rPr>
        <w:lang w:val="en-US"/>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25095" cy="137795"/>
              <wp:effectExtent l="0" t="0" r="0" b="0"/>
              <wp:wrapNone/>
              <wp:docPr id="2" name="Text Box 1065"/>
              <wp:cNvGraphicFramePr/>
              <a:graphic xmlns:a="http://schemas.openxmlformats.org/drawingml/2006/main">
                <a:graphicData uri="http://schemas.microsoft.com/office/word/2010/wordprocessingShape">
                  <wps:wsp>
                    <wps:cNvSpPr txBox="1">
                      <a:spLocks noChangeArrowheads="1"/>
                    </wps:cNvSpPr>
                    <wps:spPr bwMode="auto">
                      <a:xfrm>
                        <a:off x="0" y="0"/>
                        <a:ext cx="125095" cy="137795"/>
                      </a:xfrm>
                      <a:prstGeom prst="rect">
                        <a:avLst/>
                      </a:prstGeom>
                      <a:noFill/>
                      <a:ln>
                        <a:noFill/>
                      </a:ln>
                      <a:effectLst/>
                    </wps:spPr>
                    <wps:txbx>
                      <w:txbxContent>
                        <w:p>
                          <w:pPr>
                            <w:pStyle w:val="32"/>
                          </w:pPr>
                          <w:r>
                            <w:fldChar w:fldCharType="begin"/>
                          </w:r>
                          <w:r>
                            <w:instrText xml:space="preserve"> PAGE  \* MERGEFORMAT </w:instrText>
                          </w:r>
                          <w:r>
                            <w:fldChar w:fldCharType="separate"/>
                          </w:r>
                          <w:r>
                            <w:t>39</w:t>
                          </w:r>
                          <w:r>
                            <w:fldChar w:fldCharType="end"/>
                          </w:r>
                        </w:p>
                      </w:txbxContent>
                    </wps:txbx>
                    <wps:bodyPr rot="0" vert="horz" wrap="none" lIns="0" tIns="0" rIns="0" bIns="0" anchor="t" anchorCtr="0" upright="1">
                      <a:spAutoFit/>
                    </wps:bodyPr>
                  </wps:wsp>
                </a:graphicData>
              </a:graphic>
            </wp:anchor>
          </w:drawing>
        </mc:Choice>
        <mc:Fallback>
          <w:pict>
            <v:shape id="Text Box 1065" o:spid="_x0000_s1026" o:spt="202" type="#_x0000_t202" style="position:absolute;left:0pt;margin-top:0pt;height:10.85pt;width:9.85pt;mso-position-horizontal:center;mso-position-horizontal-relative:margin;mso-wrap-style:none;z-index:251661312;mso-width-relative:page;mso-height-relative:page;" filled="f" stroked="f" coordsize="21600,21600" o:gfxdata="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3371kdAAAAADAQAADwAAAAAAAAABACAAAAAiAAAAZHJzL2Rvd25yZXYueG1s&#10;UEsBAhQAFAAAAAgAh07iQDYSKioAAgAAEgQAAA4AAAAAAAAAAQAgAAAAHwEAAGRycy9lMm9Eb2Mu&#10;eG1sUEsFBgAAAAAGAAYAWQEAAJEFAAAAAA==&#10;">
              <v:fill on="f" focussize="0,0"/>
              <v:stroke on="f"/>
              <v:imagedata o:title=""/>
              <o:lock v:ext="edit" aspectratio="f"/>
              <v:textbox inset="0mm,0mm,0mm,0mm" style="mso-fit-shape-to-text:t;">
                <w:txbxContent>
                  <w:p>
                    <w:pPr>
                      <w:pStyle w:val="32"/>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pPr>
    <w:r>
      <w:rPr>
        <w:lang w:val="en-US"/>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25095" cy="137795"/>
              <wp:effectExtent l="0" t="0" r="0" b="0"/>
              <wp:wrapNone/>
              <wp:docPr id="1" name="Text Box 1066"/>
              <wp:cNvGraphicFramePr/>
              <a:graphic xmlns:a="http://schemas.openxmlformats.org/drawingml/2006/main">
                <a:graphicData uri="http://schemas.microsoft.com/office/word/2010/wordprocessingShape">
                  <wps:wsp>
                    <wps:cNvSpPr txBox="1">
                      <a:spLocks noChangeArrowheads="1"/>
                    </wps:cNvSpPr>
                    <wps:spPr bwMode="auto">
                      <a:xfrm>
                        <a:off x="0" y="0"/>
                        <a:ext cx="125095" cy="137795"/>
                      </a:xfrm>
                      <a:prstGeom prst="rect">
                        <a:avLst/>
                      </a:prstGeom>
                      <a:noFill/>
                      <a:ln>
                        <a:noFill/>
                      </a:ln>
                      <a:effectLst/>
                    </wps:spPr>
                    <wps:txbx>
                      <w:txbxContent>
                        <w:p>
                          <w:pPr>
                            <w:pStyle w:val="32"/>
                          </w:pPr>
                          <w:r>
                            <w:fldChar w:fldCharType="begin"/>
                          </w:r>
                          <w:r>
                            <w:instrText xml:space="preserve"> PAGE  \* MERGEFORMAT </w:instrText>
                          </w:r>
                          <w:r>
                            <w:fldChar w:fldCharType="separate"/>
                          </w:r>
                          <w:r>
                            <w:t>47</w:t>
                          </w:r>
                          <w:r>
                            <w:fldChar w:fldCharType="end"/>
                          </w:r>
                        </w:p>
                      </w:txbxContent>
                    </wps:txbx>
                    <wps:bodyPr rot="0" vert="horz" wrap="none" lIns="0" tIns="0" rIns="0" bIns="0" anchor="t" anchorCtr="0" upright="1">
                      <a:spAutoFit/>
                    </wps:bodyPr>
                  </wps:wsp>
                </a:graphicData>
              </a:graphic>
            </wp:anchor>
          </w:drawing>
        </mc:Choice>
        <mc:Fallback>
          <w:pict>
            <v:shape id="Text Box 1066" o:spid="_x0000_s1026" o:spt="202" type="#_x0000_t202" style="position:absolute;left:0pt;margin-top:0pt;height:10.85pt;width:9.85pt;mso-position-horizontal:center;mso-position-horizontal-relative:margin;mso-wrap-style:none;z-index:251662336;mso-width-relative:page;mso-height-relative:page;" filled="f" stroked="f" coordsize="21600,21600" o:gfxdata="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ffvWR0AAAAAMBAAAPAAAAAAAAAAEAIAAAACIAAABkcnMvZG93bnJldi54bWxQ&#10;SwECFAAUAAAACACHTuJAuZ/lNv8BAAASBAAADgAAAAAAAAABACAAAAAfAQAAZHJzL2Uyb0RvYy54&#10;bWxQSwUGAAAAAAYABgBZAQAAkAUAAAAA&#10;">
              <v:fill on="f" focussize="0,0"/>
              <v:stroke on="f"/>
              <v:imagedata o:title=""/>
              <o:lock v:ext="edit" aspectratio="f"/>
              <v:textbox inset="0mm,0mm,0mm,0mm" style="mso-fit-shape-to-text:t;">
                <w:txbxContent>
                  <w:p>
                    <w:pPr>
                      <w:pStyle w:val="32"/>
                    </w:pPr>
                    <w:r>
                      <w:fldChar w:fldCharType="begin"/>
                    </w:r>
                    <w:r>
                      <w:instrText xml:space="preserve"> PAGE  \* MERGEFORMAT </w:instrText>
                    </w:r>
                    <w:r>
                      <w:fldChar w:fldCharType="separate"/>
                    </w:r>
                    <w:r>
                      <w:t>47</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2"/>
      <w:framePr w:wrap="around" w:vAnchor="text" w:hAnchor="margin" w:xAlign="center" w:y="1"/>
      <w:rPr>
        <w:rStyle w:val="52"/>
      </w:rPr>
    </w:pPr>
    <w:r>
      <w:fldChar w:fldCharType="begin"/>
    </w:r>
    <w:r>
      <w:rPr>
        <w:rStyle w:val="52"/>
      </w:rPr>
      <w:instrText xml:space="preserve">PAGE  </w:instrText>
    </w:r>
    <w:r>
      <w:fldChar w:fldCharType="end"/>
    </w:r>
  </w:p>
  <w:p>
    <w:pPr>
      <w:pStyle w:val="3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3"/>
      <w:pBdr>
        <w:bottom w:val="none" w:color="auto" w:sz="0" w:space="1"/>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D11D0C"/>
    <w:multiLevelType w:val="singleLevel"/>
    <w:tmpl w:val="80D11D0C"/>
    <w:lvl w:ilvl="0" w:tentative="0">
      <w:start w:val="1"/>
      <w:numFmt w:val="decimal"/>
      <w:suff w:val="nothing"/>
      <w:lvlText w:val="%1．"/>
      <w:lvlJc w:val="left"/>
      <w:pPr>
        <w:ind w:left="0" w:firstLine="400"/>
      </w:pPr>
      <w:rPr>
        <w:rFonts w:hint="default"/>
      </w:rPr>
    </w:lvl>
  </w:abstractNum>
  <w:abstractNum w:abstractNumId="1">
    <w:nsid w:val="88C08DA5"/>
    <w:multiLevelType w:val="singleLevel"/>
    <w:tmpl w:val="88C08DA5"/>
    <w:lvl w:ilvl="0" w:tentative="0">
      <w:start w:val="1"/>
      <w:numFmt w:val="decimal"/>
      <w:lvlText w:val="%1."/>
      <w:lvlJc w:val="left"/>
      <w:pPr>
        <w:tabs>
          <w:tab w:val="left" w:pos="420"/>
        </w:tabs>
        <w:ind w:left="845" w:hanging="425"/>
      </w:pPr>
      <w:rPr>
        <w:rFonts w:hint="default"/>
      </w:rPr>
    </w:lvl>
  </w:abstractNum>
  <w:abstractNum w:abstractNumId="2">
    <w:nsid w:val="90A75383"/>
    <w:multiLevelType w:val="singleLevel"/>
    <w:tmpl w:val="90A75383"/>
    <w:lvl w:ilvl="0" w:tentative="0">
      <w:start w:val="1"/>
      <w:numFmt w:val="chineseCounting"/>
      <w:suff w:val="nothing"/>
      <w:lvlText w:val="（%1）"/>
      <w:lvlJc w:val="left"/>
      <w:pPr>
        <w:ind w:left="0" w:firstLine="420"/>
      </w:pPr>
      <w:rPr>
        <w:rFonts w:hint="eastAsia"/>
      </w:rPr>
    </w:lvl>
  </w:abstractNum>
  <w:abstractNum w:abstractNumId="3">
    <w:nsid w:val="94C883D4"/>
    <w:multiLevelType w:val="singleLevel"/>
    <w:tmpl w:val="94C883D4"/>
    <w:lvl w:ilvl="0" w:tentative="0">
      <w:start w:val="1"/>
      <w:numFmt w:val="decimal"/>
      <w:lvlText w:val="%1."/>
      <w:lvlJc w:val="left"/>
      <w:pPr>
        <w:ind w:left="425" w:hanging="425"/>
      </w:pPr>
      <w:rPr>
        <w:rFonts w:hint="default"/>
      </w:rPr>
    </w:lvl>
  </w:abstractNum>
  <w:abstractNum w:abstractNumId="4">
    <w:nsid w:val="94E72C12"/>
    <w:multiLevelType w:val="singleLevel"/>
    <w:tmpl w:val="94E72C12"/>
    <w:lvl w:ilvl="0" w:tentative="0">
      <w:start w:val="1"/>
      <w:numFmt w:val="decimal"/>
      <w:suff w:val="nothing"/>
      <w:lvlText w:val="%1．"/>
      <w:lvlJc w:val="left"/>
      <w:pPr>
        <w:ind w:left="0" w:firstLine="400"/>
      </w:pPr>
      <w:rPr>
        <w:rFonts w:hint="default"/>
      </w:rPr>
    </w:lvl>
  </w:abstractNum>
  <w:abstractNum w:abstractNumId="5">
    <w:nsid w:val="96E94216"/>
    <w:multiLevelType w:val="singleLevel"/>
    <w:tmpl w:val="96E94216"/>
    <w:lvl w:ilvl="0" w:tentative="0">
      <w:start w:val="1"/>
      <w:numFmt w:val="chineseCounting"/>
      <w:suff w:val="nothing"/>
      <w:lvlText w:val="（%1）"/>
      <w:lvlJc w:val="left"/>
      <w:pPr>
        <w:ind w:left="0" w:firstLine="420"/>
      </w:pPr>
      <w:rPr>
        <w:rFonts w:hint="eastAsia"/>
      </w:rPr>
    </w:lvl>
  </w:abstractNum>
  <w:abstractNum w:abstractNumId="6">
    <w:nsid w:val="9855BCFF"/>
    <w:multiLevelType w:val="singleLevel"/>
    <w:tmpl w:val="9855BCFF"/>
    <w:lvl w:ilvl="0" w:tentative="0">
      <w:start w:val="1"/>
      <w:numFmt w:val="decimal"/>
      <w:suff w:val="nothing"/>
      <w:lvlText w:val="%1．"/>
      <w:lvlJc w:val="left"/>
      <w:pPr>
        <w:ind w:left="0" w:firstLine="400"/>
      </w:pPr>
      <w:rPr>
        <w:rFonts w:hint="default"/>
      </w:rPr>
    </w:lvl>
  </w:abstractNum>
  <w:abstractNum w:abstractNumId="7">
    <w:nsid w:val="9A523BF1"/>
    <w:multiLevelType w:val="singleLevel"/>
    <w:tmpl w:val="9A523BF1"/>
    <w:lvl w:ilvl="0" w:tentative="0">
      <w:start w:val="1"/>
      <w:numFmt w:val="chineseCounting"/>
      <w:suff w:val="nothing"/>
      <w:lvlText w:val="（%1）"/>
      <w:lvlJc w:val="left"/>
      <w:pPr>
        <w:ind w:left="0" w:firstLine="420"/>
      </w:pPr>
      <w:rPr>
        <w:rFonts w:hint="eastAsia"/>
      </w:rPr>
    </w:lvl>
  </w:abstractNum>
  <w:abstractNum w:abstractNumId="8">
    <w:nsid w:val="A4ED5F26"/>
    <w:multiLevelType w:val="singleLevel"/>
    <w:tmpl w:val="A4ED5F26"/>
    <w:lvl w:ilvl="0" w:tentative="0">
      <w:start w:val="1"/>
      <w:numFmt w:val="decimalEnclosedCircleChinese"/>
      <w:suff w:val="nothing"/>
      <w:lvlText w:val="%1　"/>
      <w:lvlJc w:val="left"/>
      <w:pPr>
        <w:ind w:left="0" w:firstLine="400"/>
      </w:pPr>
      <w:rPr>
        <w:rFonts w:hint="eastAsia"/>
      </w:rPr>
    </w:lvl>
  </w:abstractNum>
  <w:abstractNum w:abstractNumId="9">
    <w:nsid w:val="A4FFE9AC"/>
    <w:multiLevelType w:val="singleLevel"/>
    <w:tmpl w:val="A4FFE9AC"/>
    <w:lvl w:ilvl="0" w:tentative="0">
      <w:start w:val="1"/>
      <w:numFmt w:val="decimal"/>
      <w:suff w:val="nothing"/>
      <w:lvlText w:val="%1．"/>
      <w:lvlJc w:val="left"/>
      <w:pPr>
        <w:ind w:left="0" w:firstLine="400"/>
      </w:pPr>
      <w:rPr>
        <w:rFonts w:hint="default"/>
      </w:rPr>
    </w:lvl>
  </w:abstractNum>
  <w:abstractNum w:abstractNumId="10">
    <w:nsid w:val="A648A2EA"/>
    <w:multiLevelType w:val="singleLevel"/>
    <w:tmpl w:val="A648A2EA"/>
    <w:lvl w:ilvl="0" w:tentative="0">
      <w:start w:val="1"/>
      <w:numFmt w:val="decimal"/>
      <w:suff w:val="nothing"/>
      <w:lvlText w:val="%1．"/>
      <w:lvlJc w:val="left"/>
      <w:pPr>
        <w:ind w:left="0" w:firstLine="400"/>
      </w:pPr>
      <w:rPr>
        <w:rFonts w:hint="default"/>
      </w:rPr>
    </w:lvl>
  </w:abstractNum>
  <w:abstractNum w:abstractNumId="11">
    <w:nsid w:val="A78597E3"/>
    <w:multiLevelType w:val="singleLevel"/>
    <w:tmpl w:val="A78597E3"/>
    <w:lvl w:ilvl="0" w:tentative="0">
      <w:start w:val="1"/>
      <w:numFmt w:val="decimal"/>
      <w:suff w:val="nothing"/>
      <w:lvlText w:val="%1．"/>
      <w:lvlJc w:val="left"/>
      <w:pPr>
        <w:ind w:left="0" w:firstLine="400"/>
      </w:pPr>
      <w:rPr>
        <w:rFonts w:hint="default"/>
      </w:rPr>
    </w:lvl>
  </w:abstractNum>
  <w:abstractNum w:abstractNumId="12">
    <w:nsid w:val="A8AE943A"/>
    <w:multiLevelType w:val="singleLevel"/>
    <w:tmpl w:val="A8AE943A"/>
    <w:lvl w:ilvl="0" w:tentative="0">
      <w:start w:val="1"/>
      <w:numFmt w:val="lowerLetter"/>
      <w:lvlText w:val="%1."/>
      <w:lvlJc w:val="left"/>
      <w:pPr>
        <w:tabs>
          <w:tab w:val="left" w:pos="420"/>
        </w:tabs>
        <w:ind w:left="845" w:hanging="425"/>
      </w:pPr>
      <w:rPr>
        <w:rFonts w:hint="default"/>
      </w:rPr>
    </w:lvl>
  </w:abstractNum>
  <w:abstractNum w:abstractNumId="13">
    <w:nsid w:val="AB92FBAC"/>
    <w:multiLevelType w:val="singleLevel"/>
    <w:tmpl w:val="AB92FBAC"/>
    <w:lvl w:ilvl="0" w:tentative="0">
      <w:start w:val="1"/>
      <w:numFmt w:val="decimalEnclosedCircleChinese"/>
      <w:suff w:val="nothing"/>
      <w:lvlText w:val="%1　"/>
      <w:lvlJc w:val="left"/>
      <w:pPr>
        <w:ind w:left="0" w:firstLine="400"/>
      </w:pPr>
      <w:rPr>
        <w:rFonts w:hint="eastAsia"/>
      </w:rPr>
    </w:lvl>
  </w:abstractNum>
  <w:abstractNum w:abstractNumId="14">
    <w:nsid w:val="ACE8B3BE"/>
    <w:multiLevelType w:val="singleLevel"/>
    <w:tmpl w:val="ACE8B3BE"/>
    <w:lvl w:ilvl="0" w:tentative="0">
      <w:start w:val="1"/>
      <w:numFmt w:val="chineseCounting"/>
      <w:suff w:val="nothing"/>
      <w:lvlText w:val="（%1）"/>
      <w:lvlJc w:val="left"/>
      <w:pPr>
        <w:ind w:left="0" w:firstLine="420"/>
      </w:pPr>
      <w:rPr>
        <w:rFonts w:hint="eastAsia"/>
      </w:rPr>
    </w:lvl>
  </w:abstractNum>
  <w:abstractNum w:abstractNumId="15">
    <w:nsid w:val="BDF9504E"/>
    <w:multiLevelType w:val="singleLevel"/>
    <w:tmpl w:val="BDF9504E"/>
    <w:lvl w:ilvl="0" w:tentative="0">
      <w:start w:val="7"/>
      <w:numFmt w:val="chineseCounting"/>
      <w:suff w:val="nothing"/>
      <w:lvlText w:val="%1、"/>
      <w:lvlJc w:val="left"/>
      <w:rPr>
        <w:rFonts w:hint="eastAsia"/>
      </w:rPr>
    </w:lvl>
  </w:abstractNum>
  <w:abstractNum w:abstractNumId="16">
    <w:nsid w:val="BFF67CB8"/>
    <w:multiLevelType w:val="singleLevel"/>
    <w:tmpl w:val="BFF67CB8"/>
    <w:lvl w:ilvl="0" w:tentative="0">
      <w:start w:val="1"/>
      <w:numFmt w:val="decimal"/>
      <w:suff w:val="nothing"/>
      <w:lvlText w:val="%1．"/>
      <w:lvlJc w:val="left"/>
      <w:pPr>
        <w:ind w:left="0" w:firstLine="400"/>
      </w:pPr>
      <w:rPr>
        <w:rFonts w:hint="default"/>
      </w:rPr>
    </w:lvl>
  </w:abstractNum>
  <w:abstractNum w:abstractNumId="17">
    <w:nsid w:val="C36A294E"/>
    <w:multiLevelType w:val="singleLevel"/>
    <w:tmpl w:val="C36A294E"/>
    <w:lvl w:ilvl="0" w:tentative="0">
      <w:start w:val="1"/>
      <w:numFmt w:val="decimal"/>
      <w:suff w:val="nothing"/>
      <w:lvlText w:val="%1．"/>
      <w:lvlJc w:val="left"/>
      <w:pPr>
        <w:ind w:left="0" w:firstLine="400"/>
      </w:pPr>
      <w:rPr>
        <w:rFonts w:hint="default"/>
      </w:rPr>
    </w:lvl>
  </w:abstractNum>
  <w:abstractNum w:abstractNumId="18">
    <w:nsid w:val="C39F9CAF"/>
    <w:multiLevelType w:val="singleLevel"/>
    <w:tmpl w:val="C39F9CAF"/>
    <w:lvl w:ilvl="0" w:tentative="0">
      <w:start w:val="1"/>
      <w:numFmt w:val="decimal"/>
      <w:lvlText w:val="%1."/>
      <w:lvlJc w:val="left"/>
      <w:pPr>
        <w:tabs>
          <w:tab w:val="left" w:pos="312"/>
        </w:tabs>
      </w:pPr>
    </w:lvl>
  </w:abstractNum>
  <w:abstractNum w:abstractNumId="19">
    <w:nsid w:val="C8E7B2B7"/>
    <w:multiLevelType w:val="singleLevel"/>
    <w:tmpl w:val="C8E7B2B7"/>
    <w:lvl w:ilvl="0" w:tentative="0">
      <w:start w:val="1"/>
      <w:numFmt w:val="decimal"/>
      <w:suff w:val="nothing"/>
      <w:lvlText w:val="%1．"/>
      <w:lvlJc w:val="left"/>
      <w:pPr>
        <w:ind w:left="0" w:firstLine="400"/>
      </w:pPr>
      <w:rPr>
        <w:rFonts w:hint="default"/>
      </w:rPr>
    </w:lvl>
  </w:abstractNum>
  <w:abstractNum w:abstractNumId="20">
    <w:nsid w:val="CBC0DC41"/>
    <w:multiLevelType w:val="singleLevel"/>
    <w:tmpl w:val="CBC0DC41"/>
    <w:lvl w:ilvl="0" w:tentative="0">
      <w:start w:val="1"/>
      <w:numFmt w:val="decimal"/>
      <w:lvlText w:val="%1."/>
      <w:lvlJc w:val="left"/>
      <w:pPr>
        <w:tabs>
          <w:tab w:val="left" w:pos="312"/>
        </w:tabs>
      </w:pPr>
    </w:lvl>
  </w:abstractNum>
  <w:abstractNum w:abstractNumId="21">
    <w:nsid w:val="D06D0FD8"/>
    <w:multiLevelType w:val="singleLevel"/>
    <w:tmpl w:val="D06D0FD8"/>
    <w:lvl w:ilvl="0" w:tentative="0">
      <w:start w:val="1"/>
      <w:numFmt w:val="decimal"/>
      <w:lvlText w:val="%1."/>
      <w:lvlJc w:val="left"/>
      <w:pPr>
        <w:ind w:left="425" w:hanging="425"/>
      </w:pPr>
      <w:rPr>
        <w:rFonts w:hint="default"/>
      </w:rPr>
    </w:lvl>
  </w:abstractNum>
  <w:abstractNum w:abstractNumId="22">
    <w:nsid w:val="D2C348DB"/>
    <w:multiLevelType w:val="singleLevel"/>
    <w:tmpl w:val="D2C348DB"/>
    <w:lvl w:ilvl="0" w:tentative="0">
      <w:start w:val="1"/>
      <w:numFmt w:val="decimal"/>
      <w:suff w:val="nothing"/>
      <w:lvlText w:val="%1．"/>
      <w:lvlJc w:val="left"/>
      <w:pPr>
        <w:ind w:left="0" w:firstLine="400"/>
      </w:pPr>
      <w:rPr>
        <w:rFonts w:hint="default"/>
      </w:rPr>
    </w:lvl>
  </w:abstractNum>
  <w:abstractNum w:abstractNumId="23">
    <w:nsid w:val="D3B0F71C"/>
    <w:multiLevelType w:val="singleLevel"/>
    <w:tmpl w:val="D3B0F71C"/>
    <w:lvl w:ilvl="0" w:tentative="0">
      <w:start w:val="1"/>
      <w:numFmt w:val="lowerLetter"/>
      <w:lvlText w:val="%1."/>
      <w:lvlJc w:val="left"/>
      <w:pPr>
        <w:tabs>
          <w:tab w:val="left" w:pos="420"/>
        </w:tabs>
        <w:ind w:left="845" w:hanging="425"/>
      </w:pPr>
      <w:rPr>
        <w:rFonts w:hint="default"/>
      </w:rPr>
    </w:lvl>
  </w:abstractNum>
  <w:abstractNum w:abstractNumId="24">
    <w:nsid w:val="D43FEEF2"/>
    <w:multiLevelType w:val="singleLevel"/>
    <w:tmpl w:val="D43FEEF2"/>
    <w:lvl w:ilvl="0" w:tentative="0">
      <w:start w:val="1"/>
      <w:numFmt w:val="lowerLetter"/>
      <w:lvlText w:val="%1."/>
      <w:lvlJc w:val="left"/>
      <w:pPr>
        <w:tabs>
          <w:tab w:val="left" w:pos="420"/>
        </w:tabs>
        <w:ind w:left="845" w:hanging="425"/>
      </w:pPr>
      <w:rPr>
        <w:rFonts w:hint="default"/>
      </w:rPr>
    </w:lvl>
  </w:abstractNum>
  <w:abstractNum w:abstractNumId="25">
    <w:nsid w:val="D7C4C19A"/>
    <w:multiLevelType w:val="singleLevel"/>
    <w:tmpl w:val="D7C4C19A"/>
    <w:lvl w:ilvl="0" w:tentative="0">
      <w:start w:val="1"/>
      <w:numFmt w:val="decimal"/>
      <w:lvlText w:val="(%1)"/>
      <w:lvlJc w:val="left"/>
      <w:pPr>
        <w:tabs>
          <w:tab w:val="left" w:pos="420"/>
        </w:tabs>
        <w:ind w:left="845" w:hanging="425"/>
      </w:pPr>
      <w:rPr>
        <w:rFonts w:hint="default"/>
      </w:rPr>
    </w:lvl>
  </w:abstractNum>
  <w:abstractNum w:abstractNumId="26">
    <w:nsid w:val="E528C14B"/>
    <w:multiLevelType w:val="singleLevel"/>
    <w:tmpl w:val="E528C14B"/>
    <w:lvl w:ilvl="0" w:tentative="0">
      <w:start w:val="1"/>
      <w:numFmt w:val="decimal"/>
      <w:lvlText w:val="(%1)"/>
      <w:lvlJc w:val="left"/>
      <w:pPr>
        <w:ind w:left="425" w:hanging="425"/>
      </w:pPr>
      <w:rPr>
        <w:rFonts w:hint="default"/>
      </w:rPr>
    </w:lvl>
  </w:abstractNum>
  <w:abstractNum w:abstractNumId="27">
    <w:nsid w:val="E78D21AC"/>
    <w:multiLevelType w:val="singleLevel"/>
    <w:tmpl w:val="E78D21AC"/>
    <w:lvl w:ilvl="0" w:tentative="0">
      <w:start w:val="1"/>
      <w:numFmt w:val="decimal"/>
      <w:suff w:val="space"/>
      <w:lvlText w:val="(%1)"/>
      <w:lvlJc w:val="left"/>
      <w:pPr>
        <w:ind w:left="425" w:hanging="425"/>
      </w:pPr>
      <w:rPr>
        <w:rFonts w:hint="default"/>
      </w:rPr>
    </w:lvl>
  </w:abstractNum>
  <w:abstractNum w:abstractNumId="28">
    <w:nsid w:val="E7EAA8E3"/>
    <w:multiLevelType w:val="singleLevel"/>
    <w:tmpl w:val="E7EAA8E3"/>
    <w:lvl w:ilvl="0" w:tentative="0">
      <w:start w:val="1"/>
      <w:numFmt w:val="decimal"/>
      <w:suff w:val="nothing"/>
      <w:lvlText w:val="%1．"/>
      <w:lvlJc w:val="left"/>
      <w:pPr>
        <w:ind w:left="0" w:firstLine="400"/>
      </w:pPr>
      <w:rPr>
        <w:rFonts w:hint="default"/>
      </w:rPr>
    </w:lvl>
  </w:abstractNum>
  <w:abstractNum w:abstractNumId="29">
    <w:nsid w:val="E85C678E"/>
    <w:multiLevelType w:val="singleLevel"/>
    <w:tmpl w:val="E85C678E"/>
    <w:lvl w:ilvl="0" w:tentative="0">
      <w:start w:val="1"/>
      <w:numFmt w:val="decimal"/>
      <w:suff w:val="nothing"/>
      <w:lvlText w:val="%1．"/>
      <w:lvlJc w:val="left"/>
      <w:pPr>
        <w:ind w:left="0" w:firstLine="400"/>
      </w:pPr>
      <w:rPr>
        <w:rFonts w:hint="default"/>
      </w:rPr>
    </w:lvl>
  </w:abstractNum>
  <w:abstractNum w:abstractNumId="30">
    <w:nsid w:val="E9D70A4A"/>
    <w:multiLevelType w:val="singleLevel"/>
    <w:tmpl w:val="E9D70A4A"/>
    <w:lvl w:ilvl="0" w:tentative="0">
      <w:start w:val="1"/>
      <w:numFmt w:val="lowerLetter"/>
      <w:lvlText w:val="%1."/>
      <w:lvlJc w:val="left"/>
      <w:pPr>
        <w:ind w:left="425" w:hanging="425"/>
      </w:pPr>
      <w:rPr>
        <w:rFonts w:hint="default"/>
      </w:rPr>
    </w:lvl>
  </w:abstractNum>
  <w:abstractNum w:abstractNumId="31">
    <w:nsid w:val="F57DB8CB"/>
    <w:multiLevelType w:val="singleLevel"/>
    <w:tmpl w:val="F57DB8CB"/>
    <w:lvl w:ilvl="0" w:tentative="0">
      <w:start w:val="1"/>
      <w:numFmt w:val="chineseCounting"/>
      <w:suff w:val="nothing"/>
      <w:lvlText w:val="（%1）"/>
      <w:lvlJc w:val="left"/>
      <w:pPr>
        <w:ind w:left="0" w:firstLine="420"/>
      </w:pPr>
      <w:rPr>
        <w:rFonts w:hint="eastAsia"/>
      </w:rPr>
    </w:lvl>
  </w:abstractNum>
  <w:abstractNum w:abstractNumId="32">
    <w:nsid w:val="F6B307B1"/>
    <w:multiLevelType w:val="singleLevel"/>
    <w:tmpl w:val="F6B307B1"/>
    <w:lvl w:ilvl="0" w:tentative="0">
      <w:start w:val="3"/>
      <w:numFmt w:val="decimal"/>
      <w:suff w:val="nothing"/>
      <w:lvlText w:val="%1、"/>
      <w:lvlJc w:val="left"/>
    </w:lvl>
  </w:abstractNum>
  <w:abstractNum w:abstractNumId="33">
    <w:nsid w:val="F8305201"/>
    <w:multiLevelType w:val="singleLevel"/>
    <w:tmpl w:val="F8305201"/>
    <w:lvl w:ilvl="0" w:tentative="0">
      <w:start w:val="1"/>
      <w:numFmt w:val="decimal"/>
      <w:suff w:val="nothing"/>
      <w:lvlText w:val="%1．"/>
      <w:lvlJc w:val="left"/>
      <w:pPr>
        <w:ind w:left="0" w:firstLine="400"/>
      </w:pPr>
      <w:rPr>
        <w:rFonts w:hint="default"/>
      </w:rPr>
    </w:lvl>
  </w:abstractNum>
  <w:abstractNum w:abstractNumId="34">
    <w:nsid w:val="F8923C92"/>
    <w:multiLevelType w:val="singleLevel"/>
    <w:tmpl w:val="F8923C92"/>
    <w:lvl w:ilvl="0" w:tentative="0">
      <w:start w:val="1"/>
      <w:numFmt w:val="decimal"/>
      <w:suff w:val="nothing"/>
      <w:lvlText w:val="%1．"/>
      <w:lvlJc w:val="left"/>
      <w:pPr>
        <w:ind w:left="0" w:firstLine="400"/>
      </w:pPr>
      <w:rPr>
        <w:rFonts w:hint="default"/>
      </w:rPr>
    </w:lvl>
  </w:abstractNum>
  <w:abstractNum w:abstractNumId="35">
    <w:nsid w:val="FA1BE2EF"/>
    <w:multiLevelType w:val="singleLevel"/>
    <w:tmpl w:val="FA1BE2EF"/>
    <w:lvl w:ilvl="0" w:tentative="0">
      <w:start w:val="1"/>
      <w:numFmt w:val="decimal"/>
      <w:suff w:val="nothing"/>
      <w:lvlText w:val="%1．"/>
      <w:lvlJc w:val="left"/>
      <w:pPr>
        <w:ind w:left="0" w:firstLine="400"/>
      </w:pPr>
      <w:rPr>
        <w:rFonts w:hint="default"/>
      </w:rPr>
    </w:lvl>
  </w:abstractNum>
  <w:abstractNum w:abstractNumId="36">
    <w:nsid w:val="FBB22012"/>
    <w:multiLevelType w:val="singleLevel"/>
    <w:tmpl w:val="FBB22012"/>
    <w:lvl w:ilvl="0" w:tentative="0">
      <w:start w:val="1"/>
      <w:numFmt w:val="decimal"/>
      <w:suff w:val="nothing"/>
      <w:lvlText w:val="%1．"/>
      <w:lvlJc w:val="left"/>
      <w:pPr>
        <w:ind w:left="0" w:firstLine="400"/>
      </w:pPr>
      <w:rPr>
        <w:rFonts w:hint="default"/>
      </w:rPr>
    </w:lvl>
  </w:abstractNum>
  <w:abstractNum w:abstractNumId="37">
    <w:nsid w:val="00000023"/>
    <w:multiLevelType w:val="singleLevel"/>
    <w:tmpl w:val="00000023"/>
    <w:lvl w:ilvl="0" w:tentative="0">
      <w:start w:val="1"/>
      <w:numFmt w:val="chineseCounting"/>
      <w:pStyle w:val="193"/>
      <w:suff w:val="nothing"/>
      <w:lvlText w:val="第%1条"/>
      <w:lvlJc w:val="left"/>
      <w:rPr>
        <w:b/>
      </w:rPr>
    </w:lvl>
  </w:abstractNum>
  <w:abstractNum w:abstractNumId="38">
    <w:nsid w:val="0877368E"/>
    <w:multiLevelType w:val="singleLevel"/>
    <w:tmpl w:val="0877368E"/>
    <w:lvl w:ilvl="0" w:tentative="0">
      <w:start w:val="1"/>
      <w:numFmt w:val="decimalEnclosedCircleChinese"/>
      <w:suff w:val="nothing"/>
      <w:lvlText w:val="%1　"/>
      <w:lvlJc w:val="left"/>
      <w:pPr>
        <w:ind w:left="0" w:firstLine="400"/>
      </w:pPr>
      <w:rPr>
        <w:rFonts w:hint="eastAsia"/>
      </w:rPr>
    </w:lvl>
  </w:abstractNum>
  <w:abstractNum w:abstractNumId="39">
    <w:nsid w:val="09113C82"/>
    <w:multiLevelType w:val="singleLevel"/>
    <w:tmpl w:val="09113C82"/>
    <w:lvl w:ilvl="0" w:tentative="0">
      <w:start w:val="1"/>
      <w:numFmt w:val="decimal"/>
      <w:suff w:val="nothing"/>
      <w:lvlText w:val="%1．"/>
      <w:lvlJc w:val="left"/>
      <w:pPr>
        <w:ind w:left="0" w:firstLine="400"/>
      </w:pPr>
      <w:rPr>
        <w:rFonts w:hint="default"/>
      </w:rPr>
    </w:lvl>
  </w:abstractNum>
  <w:abstractNum w:abstractNumId="40">
    <w:nsid w:val="0AB90C6B"/>
    <w:multiLevelType w:val="multilevel"/>
    <w:tmpl w:val="0AB90C6B"/>
    <w:lvl w:ilvl="0" w:tentative="0">
      <w:start w:val="1"/>
      <w:numFmt w:val="decimal"/>
      <w:lvlText w:val="（%1）"/>
      <w:lvlJc w:val="left"/>
      <w:pPr>
        <w:tabs>
          <w:tab w:val="left" w:pos="937"/>
        </w:tabs>
        <w:ind w:left="926" w:hanging="500"/>
      </w:pPr>
      <w:rPr>
        <w:rFonts w:hint="eastAsia"/>
      </w:rPr>
    </w:lvl>
    <w:lvl w:ilvl="1" w:tentative="0">
      <w:start w:val="1"/>
      <w:numFmt w:val="japaneseCounting"/>
      <w:lvlText w:val="（%2）"/>
      <w:lvlJc w:val="left"/>
      <w:pPr>
        <w:ind w:left="1562" w:hanging="720"/>
      </w:pPr>
      <w:rPr>
        <w:rFonts w:hint="default"/>
      </w:rPr>
    </w:lvl>
    <w:lvl w:ilvl="2" w:tentative="0">
      <w:start w:val="1"/>
      <w:numFmt w:val="lowerRoman"/>
      <w:lvlText w:val="%3."/>
      <w:lvlJc w:val="right"/>
      <w:pPr>
        <w:tabs>
          <w:tab w:val="left" w:pos="1682"/>
        </w:tabs>
        <w:ind w:left="1682" w:hanging="420"/>
      </w:pPr>
    </w:lvl>
    <w:lvl w:ilvl="3" w:tentative="0">
      <w:start w:val="1"/>
      <w:numFmt w:val="decimal"/>
      <w:lvlText w:val="%4."/>
      <w:lvlJc w:val="left"/>
      <w:pPr>
        <w:tabs>
          <w:tab w:val="left" w:pos="2102"/>
        </w:tabs>
        <w:ind w:left="2102" w:hanging="420"/>
      </w:pPr>
    </w:lvl>
    <w:lvl w:ilvl="4" w:tentative="0">
      <w:start w:val="1"/>
      <w:numFmt w:val="lowerLetter"/>
      <w:lvlText w:val="%5)"/>
      <w:lvlJc w:val="left"/>
      <w:pPr>
        <w:tabs>
          <w:tab w:val="left" w:pos="2522"/>
        </w:tabs>
        <w:ind w:left="2522" w:hanging="420"/>
      </w:pPr>
    </w:lvl>
    <w:lvl w:ilvl="5" w:tentative="0">
      <w:start w:val="1"/>
      <w:numFmt w:val="lowerRoman"/>
      <w:lvlText w:val="%6."/>
      <w:lvlJc w:val="right"/>
      <w:pPr>
        <w:tabs>
          <w:tab w:val="left" w:pos="2942"/>
        </w:tabs>
        <w:ind w:left="2942" w:hanging="420"/>
      </w:pPr>
    </w:lvl>
    <w:lvl w:ilvl="6" w:tentative="0">
      <w:start w:val="1"/>
      <w:numFmt w:val="decimal"/>
      <w:lvlText w:val="%7."/>
      <w:lvlJc w:val="left"/>
      <w:pPr>
        <w:tabs>
          <w:tab w:val="left" w:pos="3362"/>
        </w:tabs>
        <w:ind w:left="3362" w:hanging="420"/>
      </w:pPr>
    </w:lvl>
    <w:lvl w:ilvl="7" w:tentative="0">
      <w:start w:val="1"/>
      <w:numFmt w:val="lowerLetter"/>
      <w:lvlText w:val="%8)"/>
      <w:lvlJc w:val="left"/>
      <w:pPr>
        <w:tabs>
          <w:tab w:val="left" w:pos="3782"/>
        </w:tabs>
        <w:ind w:left="3782" w:hanging="420"/>
      </w:pPr>
    </w:lvl>
    <w:lvl w:ilvl="8" w:tentative="0">
      <w:start w:val="1"/>
      <w:numFmt w:val="lowerRoman"/>
      <w:lvlText w:val="%9."/>
      <w:lvlJc w:val="right"/>
      <w:pPr>
        <w:tabs>
          <w:tab w:val="left" w:pos="4202"/>
        </w:tabs>
        <w:ind w:left="4202" w:hanging="420"/>
      </w:pPr>
    </w:lvl>
  </w:abstractNum>
  <w:abstractNum w:abstractNumId="41">
    <w:nsid w:val="0CDF335B"/>
    <w:multiLevelType w:val="singleLevel"/>
    <w:tmpl w:val="0CDF335B"/>
    <w:lvl w:ilvl="0" w:tentative="0">
      <w:start w:val="1"/>
      <w:numFmt w:val="decimal"/>
      <w:suff w:val="nothing"/>
      <w:lvlText w:val="%1．"/>
      <w:lvlJc w:val="left"/>
      <w:pPr>
        <w:ind w:left="0" w:firstLine="400"/>
      </w:pPr>
      <w:rPr>
        <w:rFonts w:hint="default"/>
      </w:rPr>
    </w:lvl>
  </w:abstractNum>
  <w:abstractNum w:abstractNumId="42">
    <w:nsid w:val="1069C0B1"/>
    <w:multiLevelType w:val="singleLevel"/>
    <w:tmpl w:val="1069C0B1"/>
    <w:lvl w:ilvl="0" w:tentative="0">
      <w:start w:val="1"/>
      <w:numFmt w:val="decimal"/>
      <w:suff w:val="nothing"/>
      <w:lvlText w:val="%1．"/>
      <w:lvlJc w:val="left"/>
      <w:pPr>
        <w:ind w:left="0" w:firstLine="400"/>
      </w:pPr>
      <w:rPr>
        <w:rFonts w:hint="default"/>
      </w:rPr>
    </w:lvl>
  </w:abstractNum>
  <w:abstractNum w:abstractNumId="43">
    <w:nsid w:val="16C65DBF"/>
    <w:multiLevelType w:val="multilevel"/>
    <w:tmpl w:val="16C65DBF"/>
    <w:lvl w:ilvl="0" w:tentative="0">
      <w:start w:val="1"/>
      <w:numFmt w:val="decimal"/>
      <w:pStyle w:val="282"/>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4">
    <w:nsid w:val="1D1BCD88"/>
    <w:multiLevelType w:val="singleLevel"/>
    <w:tmpl w:val="1D1BCD88"/>
    <w:lvl w:ilvl="0" w:tentative="0">
      <w:start w:val="1"/>
      <w:numFmt w:val="decimal"/>
      <w:suff w:val="nothing"/>
      <w:lvlText w:val="%1．"/>
      <w:lvlJc w:val="left"/>
      <w:pPr>
        <w:ind w:left="0" w:firstLine="400"/>
      </w:pPr>
      <w:rPr>
        <w:rFonts w:hint="default"/>
      </w:rPr>
    </w:lvl>
  </w:abstractNum>
  <w:abstractNum w:abstractNumId="45">
    <w:nsid w:val="234219AE"/>
    <w:multiLevelType w:val="singleLevel"/>
    <w:tmpl w:val="234219AE"/>
    <w:lvl w:ilvl="0" w:tentative="0">
      <w:start w:val="1"/>
      <w:numFmt w:val="chineseCounting"/>
      <w:suff w:val="nothing"/>
      <w:lvlText w:val="（%1）"/>
      <w:lvlJc w:val="left"/>
      <w:pPr>
        <w:ind w:left="0" w:firstLine="420"/>
      </w:pPr>
      <w:rPr>
        <w:rFonts w:hint="eastAsia"/>
      </w:rPr>
    </w:lvl>
  </w:abstractNum>
  <w:abstractNum w:abstractNumId="46">
    <w:nsid w:val="245FCEBA"/>
    <w:multiLevelType w:val="singleLevel"/>
    <w:tmpl w:val="245FCEBA"/>
    <w:lvl w:ilvl="0" w:tentative="0">
      <w:start w:val="1"/>
      <w:numFmt w:val="decimal"/>
      <w:lvlText w:val="(%1)"/>
      <w:lvlJc w:val="left"/>
      <w:pPr>
        <w:tabs>
          <w:tab w:val="left" w:pos="420"/>
        </w:tabs>
        <w:ind w:left="845" w:hanging="425"/>
      </w:pPr>
      <w:rPr>
        <w:rFonts w:hint="default"/>
      </w:rPr>
    </w:lvl>
  </w:abstractNum>
  <w:abstractNum w:abstractNumId="47">
    <w:nsid w:val="2C97D2BA"/>
    <w:multiLevelType w:val="singleLevel"/>
    <w:tmpl w:val="2C97D2BA"/>
    <w:lvl w:ilvl="0" w:tentative="0">
      <w:start w:val="1"/>
      <w:numFmt w:val="chineseCounting"/>
      <w:suff w:val="nothing"/>
      <w:lvlText w:val="%1、"/>
      <w:lvlJc w:val="left"/>
      <w:rPr>
        <w:rFonts w:hint="eastAsia"/>
      </w:rPr>
    </w:lvl>
  </w:abstractNum>
  <w:abstractNum w:abstractNumId="48">
    <w:nsid w:val="3B80C88C"/>
    <w:multiLevelType w:val="singleLevel"/>
    <w:tmpl w:val="3B80C88C"/>
    <w:lvl w:ilvl="0" w:tentative="0">
      <w:start w:val="1"/>
      <w:numFmt w:val="chineseCounting"/>
      <w:suff w:val="nothing"/>
      <w:lvlText w:val="（%1）"/>
      <w:lvlJc w:val="left"/>
      <w:pPr>
        <w:ind w:left="0" w:firstLine="420"/>
      </w:pPr>
      <w:rPr>
        <w:rFonts w:hint="eastAsia"/>
      </w:rPr>
    </w:lvl>
  </w:abstractNum>
  <w:abstractNum w:abstractNumId="49">
    <w:nsid w:val="470E0B75"/>
    <w:multiLevelType w:val="singleLevel"/>
    <w:tmpl w:val="470E0B75"/>
    <w:lvl w:ilvl="0" w:tentative="0">
      <w:start w:val="1"/>
      <w:numFmt w:val="decimal"/>
      <w:suff w:val="nothing"/>
      <w:lvlText w:val="%1．"/>
      <w:lvlJc w:val="left"/>
      <w:pPr>
        <w:ind w:left="0" w:firstLine="400"/>
      </w:pPr>
      <w:rPr>
        <w:rFonts w:hint="default"/>
      </w:rPr>
    </w:lvl>
  </w:abstractNum>
  <w:abstractNum w:abstractNumId="50">
    <w:nsid w:val="491425E7"/>
    <w:multiLevelType w:val="singleLevel"/>
    <w:tmpl w:val="491425E7"/>
    <w:lvl w:ilvl="0" w:tentative="0">
      <w:start w:val="1"/>
      <w:numFmt w:val="decimal"/>
      <w:suff w:val="nothing"/>
      <w:lvlText w:val="%1．"/>
      <w:lvlJc w:val="left"/>
      <w:pPr>
        <w:ind w:left="0" w:firstLine="400"/>
      </w:pPr>
      <w:rPr>
        <w:rFonts w:hint="default"/>
      </w:rPr>
    </w:lvl>
  </w:abstractNum>
  <w:abstractNum w:abstractNumId="51">
    <w:nsid w:val="49F875A5"/>
    <w:multiLevelType w:val="multilevel"/>
    <w:tmpl w:val="49F875A5"/>
    <w:lvl w:ilvl="0" w:tentative="0">
      <w:start w:val="1"/>
      <w:numFmt w:val="decimal"/>
      <w:suff w:val="space"/>
      <w:lvlText w:val="（%1）"/>
      <w:lvlJc w:val="left"/>
      <w:pPr>
        <w:ind w:left="926" w:hanging="500"/>
      </w:pPr>
      <w:rPr>
        <w:rFonts w:hint="eastAsia"/>
      </w:rPr>
    </w:lvl>
    <w:lvl w:ilvl="1" w:tentative="0">
      <w:start w:val="1"/>
      <w:numFmt w:val="japaneseCounting"/>
      <w:lvlText w:val="（%2）"/>
      <w:lvlJc w:val="left"/>
      <w:pPr>
        <w:ind w:left="1562" w:hanging="720"/>
      </w:pPr>
      <w:rPr>
        <w:rFonts w:hint="default"/>
      </w:rPr>
    </w:lvl>
    <w:lvl w:ilvl="2" w:tentative="0">
      <w:start w:val="1"/>
      <w:numFmt w:val="lowerRoman"/>
      <w:lvlText w:val="%3."/>
      <w:lvlJc w:val="right"/>
      <w:pPr>
        <w:tabs>
          <w:tab w:val="left" w:pos="1682"/>
        </w:tabs>
        <w:ind w:left="1682" w:hanging="420"/>
      </w:pPr>
      <w:rPr>
        <w:rFonts w:hint="eastAsia"/>
      </w:rPr>
    </w:lvl>
    <w:lvl w:ilvl="3" w:tentative="0">
      <w:start w:val="1"/>
      <w:numFmt w:val="decimal"/>
      <w:lvlText w:val="%4."/>
      <w:lvlJc w:val="left"/>
      <w:pPr>
        <w:tabs>
          <w:tab w:val="left" w:pos="2102"/>
        </w:tabs>
        <w:ind w:left="2102" w:hanging="420"/>
      </w:pPr>
      <w:rPr>
        <w:rFonts w:hint="eastAsia"/>
      </w:rPr>
    </w:lvl>
    <w:lvl w:ilvl="4" w:tentative="0">
      <w:start w:val="1"/>
      <w:numFmt w:val="lowerLetter"/>
      <w:lvlText w:val="%5)"/>
      <w:lvlJc w:val="left"/>
      <w:pPr>
        <w:tabs>
          <w:tab w:val="left" w:pos="2522"/>
        </w:tabs>
        <w:ind w:left="2522" w:hanging="420"/>
      </w:pPr>
      <w:rPr>
        <w:rFonts w:hint="eastAsia"/>
      </w:rPr>
    </w:lvl>
    <w:lvl w:ilvl="5" w:tentative="0">
      <w:start w:val="1"/>
      <w:numFmt w:val="lowerRoman"/>
      <w:lvlText w:val="%6."/>
      <w:lvlJc w:val="right"/>
      <w:pPr>
        <w:tabs>
          <w:tab w:val="left" w:pos="2942"/>
        </w:tabs>
        <w:ind w:left="2942" w:hanging="420"/>
      </w:pPr>
      <w:rPr>
        <w:rFonts w:hint="eastAsia"/>
      </w:rPr>
    </w:lvl>
    <w:lvl w:ilvl="6" w:tentative="0">
      <w:start w:val="1"/>
      <w:numFmt w:val="decimal"/>
      <w:lvlText w:val="%7."/>
      <w:lvlJc w:val="left"/>
      <w:pPr>
        <w:tabs>
          <w:tab w:val="left" w:pos="3362"/>
        </w:tabs>
        <w:ind w:left="3362" w:hanging="420"/>
      </w:pPr>
      <w:rPr>
        <w:rFonts w:hint="eastAsia"/>
      </w:rPr>
    </w:lvl>
    <w:lvl w:ilvl="7" w:tentative="0">
      <w:start w:val="1"/>
      <w:numFmt w:val="lowerLetter"/>
      <w:lvlText w:val="%8)"/>
      <w:lvlJc w:val="left"/>
      <w:pPr>
        <w:tabs>
          <w:tab w:val="left" w:pos="3782"/>
        </w:tabs>
        <w:ind w:left="3782" w:hanging="420"/>
      </w:pPr>
      <w:rPr>
        <w:rFonts w:hint="eastAsia"/>
      </w:rPr>
    </w:lvl>
    <w:lvl w:ilvl="8" w:tentative="0">
      <w:start w:val="1"/>
      <w:numFmt w:val="lowerRoman"/>
      <w:lvlText w:val="%9."/>
      <w:lvlJc w:val="right"/>
      <w:pPr>
        <w:tabs>
          <w:tab w:val="left" w:pos="4202"/>
        </w:tabs>
        <w:ind w:left="4202" w:hanging="420"/>
      </w:pPr>
      <w:rPr>
        <w:rFonts w:hint="eastAsia"/>
      </w:rPr>
    </w:lvl>
  </w:abstractNum>
  <w:abstractNum w:abstractNumId="52">
    <w:nsid w:val="4A8A7417"/>
    <w:multiLevelType w:val="singleLevel"/>
    <w:tmpl w:val="4A8A7417"/>
    <w:lvl w:ilvl="0" w:tentative="0">
      <w:start w:val="1"/>
      <w:numFmt w:val="decimal"/>
      <w:suff w:val="nothing"/>
      <w:lvlText w:val="%1．"/>
      <w:lvlJc w:val="left"/>
      <w:pPr>
        <w:ind w:left="0" w:firstLine="400"/>
      </w:pPr>
      <w:rPr>
        <w:rFonts w:hint="default"/>
      </w:rPr>
    </w:lvl>
  </w:abstractNum>
  <w:abstractNum w:abstractNumId="53">
    <w:nsid w:val="4C3F39EC"/>
    <w:multiLevelType w:val="singleLevel"/>
    <w:tmpl w:val="4C3F39EC"/>
    <w:lvl w:ilvl="0" w:tentative="0">
      <w:start w:val="1"/>
      <w:numFmt w:val="decimal"/>
      <w:suff w:val="nothing"/>
      <w:lvlText w:val="%1．"/>
      <w:lvlJc w:val="left"/>
      <w:pPr>
        <w:ind w:left="0" w:firstLine="400"/>
      </w:pPr>
      <w:rPr>
        <w:rFonts w:hint="default"/>
      </w:rPr>
    </w:lvl>
  </w:abstractNum>
  <w:abstractNum w:abstractNumId="54">
    <w:nsid w:val="4DAC762D"/>
    <w:multiLevelType w:val="multilevel"/>
    <w:tmpl w:val="4DAC762D"/>
    <w:lvl w:ilvl="0" w:tentative="0">
      <w:start w:val="1"/>
      <w:numFmt w:val="decimal"/>
      <w:lvlText w:val="%1"/>
      <w:lvlJc w:val="left"/>
      <w:pPr>
        <w:tabs>
          <w:tab w:val="left" w:pos="432"/>
        </w:tabs>
        <w:ind w:left="432" w:hanging="432"/>
      </w:pPr>
      <w:rPr>
        <w:rFonts w:hint="eastAsia"/>
      </w:rPr>
    </w:lvl>
    <w:lvl w:ilvl="1" w:tentative="0">
      <w:start w:val="1"/>
      <w:numFmt w:val="decimal"/>
      <w:pStyle w:val="281"/>
      <w:lvlText w:val="%1.%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55">
    <w:nsid w:val="50E76510"/>
    <w:multiLevelType w:val="singleLevel"/>
    <w:tmpl w:val="50E76510"/>
    <w:lvl w:ilvl="0" w:tentative="0">
      <w:start w:val="1"/>
      <w:numFmt w:val="chineseCounting"/>
      <w:suff w:val="nothing"/>
      <w:lvlText w:val="%1、"/>
      <w:lvlJc w:val="left"/>
      <w:pPr>
        <w:ind w:left="0" w:firstLine="420"/>
      </w:pPr>
      <w:rPr>
        <w:rFonts w:hint="eastAsia"/>
      </w:rPr>
    </w:lvl>
  </w:abstractNum>
  <w:abstractNum w:abstractNumId="56">
    <w:nsid w:val="559FE23B"/>
    <w:multiLevelType w:val="singleLevel"/>
    <w:tmpl w:val="559FE23B"/>
    <w:lvl w:ilvl="0" w:tentative="0">
      <w:start w:val="3"/>
      <w:numFmt w:val="upperLetter"/>
      <w:lvlText w:val="%1."/>
      <w:lvlJc w:val="left"/>
      <w:pPr>
        <w:tabs>
          <w:tab w:val="left" w:pos="312"/>
        </w:tabs>
      </w:pPr>
    </w:lvl>
  </w:abstractNum>
  <w:abstractNum w:abstractNumId="57">
    <w:nsid w:val="5A3C02B2"/>
    <w:multiLevelType w:val="singleLevel"/>
    <w:tmpl w:val="5A3C02B2"/>
    <w:lvl w:ilvl="0" w:tentative="0">
      <w:start w:val="1"/>
      <w:numFmt w:val="lowerLetter"/>
      <w:lvlText w:val="%1."/>
      <w:lvlJc w:val="left"/>
      <w:pPr>
        <w:ind w:left="425" w:hanging="425"/>
      </w:pPr>
      <w:rPr>
        <w:rFonts w:hint="default"/>
      </w:rPr>
    </w:lvl>
  </w:abstractNum>
  <w:abstractNum w:abstractNumId="58">
    <w:nsid w:val="5B61E9A3"/>
    <w:multiLevelType w:val="singleLevel"/>
    <w:tmpl w:val="5B61E9A3"/>
    <w:lvl w:ilvl="0" w:tentative="0">
      <w:start w:val="1"/>
      <w:numFmt w:val="decimal"/>
      <w:suff w:val="nothing"/>
      <w:lvlText w:val="%1．"/>
      <w:lvlJc w:val="left"/>
      <w:pPr>
        <w:ind w:left="0" w:firstLine="400"/>
      </w:pPr>
      <w:rPr>
        <w:rFonts w:hint="default"/>
      </w:rPr>
    </w:lvl>
  </w:abstractNum>
  <w:abstractNum w:abstractNumId="59">
    <w:nsid w:val="628B3F02"/>
    <w:multiLevelType w:val="singleLevel"/>
    <w:tmpl w:val="628B3F02"/>
    <w:lvl w:ilvl="0" w:tentative="0">
      <w:start w:val="5"/>
      <w:numFmt w:val="decimal"/>
      <w:suff w:val="nothing"/>
      <w:lvlText w:val="%1."/>
      <w:lvlJc w:val="left"/>
    </w:lvl>
  </w:abstractNum>
  <w:abstractNum w:abstractNumId="60">
    <w:nsid w:val="659D1ECD"/>
    <w:multiLevelType w:val="singleLevel"/>
    <w:tmpl w:val="659D1ECD"/>
    <w:lvl w:ilvl="0" w:tentative="0">
      <w:start w:val="1"/>
      <w:numFmt w:val="decimal"/>
      <w:suff w:val="nothing"/>
      <w:lvlText w:val="%1．"/>
      <w:lvlJc w:val="left"/>
      <w:pPr>
        <w:ind w:left="0" w:firstLine="400"/>
      </w:pPr>
      <w:rPr>
        <w:rFonts w:hint="default"/>
      </w:rPr>
    </w:lvl>
  </w:abstractNum>
  <w:abstractNum w:abstractNumId="61">
    <w:nsid w:val="6653AF67"/>
    <w:multiLevelType w:val="singleLevel"/>
    <w:tmpl w:val="6653AF67"/>
    <w:lvl w:ilvl="0" w:tentative="0">
      <w:start w:val="1"/>
      <w:numFmt w:val="decimal"/>
      <w:suff w:val="nothing"/>
      <w:lvlText w:val="%1．"/>
      <w:lvlJc w:val="left"/>
      <w:pPr>
        <w:ind w:left="0" w:firstLine="400"/>
      </w:pPr>
      <w:rPr>
        <w:rFonts w:hint="default"/>
      </w:rPr>
    </w:lvl>
  </w:abstractNum>
  <w:abstractNum w:abstractNumId="62">
    <w:nsid w:val="6AFE4650"/>
    <w:multiLevelType w:val="singleLevel"/>
    <w:tmpl w:val="6AFE4650"/>
    <w:lvl w:ilvl="0" w:tentative="0">
      <w:start w:val="1"/>
      <w:numFmt w:val="decimal"/>
      <w:lvlText w:val="(%1)"/>
      <w:lvlJc w:val="left"/>
      <w:pPr>
        <w:tabs>
          <w:tab w:val="left" w:pos="420"/>
        </w:tabs>
        <w:ind w:left="845" w:hanging="425"/>
      </w:pPr>
      <w:rPr>
        <w:rFonts w:hint="default"/>
      </w:rPr>
    </w:lvl>
  </w:abstractNum>
  <w:abstractNum w:abstractNumId="63">
    <w:nsid w:val="6F140D28"/>
    <w:multiLevelType w:val="singleLevel"/>
    <w:tmpl w:val="6F140D28"/>
    <w:lvl w:ilvl="0" w:tentative="0">
      <w:start w:val="1"/>
      <w:numFmt w:val="chineseCounting"/>
      <w:suff w:val="nothing"/>
      <w:lvlText w:val="%1、"/>
      <w:lvlJc w:val="left"/>
      <w:pPr>
        <w:ind w:left="0" w:firstLine="420"/>
      </w:pPr>
      <w:rPr>
        <w:rFonts w:hint="eastAsia"/>
      </w:rPr>
    </w:lvl>
  </w:abstractNum>
  <w:abstractNum w:abstractNumId="64">
    <w:nsid w:val="718FA1E0"/>
    <w:multiLevelType w:val="singleLevel"/>
    <w:tmpl w:val="718FA1E0"/>
    <w:lvl w:ilvl="0" w:tentative="0">
      <w:start w:val="1"/>
      <w:numFmt w:val="decimalEnclosedCircleChinese"/>
      <w:suff w:val="nothing"/>
      <w:lvlText w:val="%1　"/>
      <w:lvlJc w:val="left"/>
      <w:pPr>
        <w:ind w:left="0" w:firstLine="400"/>
      </w:pPr>
      <w:rPr>
        <w:rFonts w:hint="eastAsia"/>
      </w:rPr>
    </w:lvl>
  </w:abstractNum>
  <w:abstractNum w:abstractNumId="65">
    <w:nsid w:val="7D4C19BB"/>
    <w:multiLevelType w:val="multilevel"/>
    <w:tmpl w:val="7D4C19BB"/>
    <w:lvl w:ilvl="0" w:tentative="0">
      <w:start w:val="1"/>
      <w:numFmt w:val="decimal"/>
      <w:lvlText w:val="（%1）"/>
      <w:lvlJc w:val="left"/>
      <w:pPr>
        <w:ind w:left="1249" w:hanging="420"/>
      </w:pPr>
      <w:rPr>
        <w:rFonts w:hint="eastAsia"/>
      </w:rPr>
    </w:lvl>
    <w:lvl w:ilvl="1" w:tentative="0">
      <w:start w:val="1"/>
      <w:numFmt w:val="decimal"/>
      <w:lvlText w:val="（%2）"/>
      <w:lvlJc w:val="left"/>
      <w:pPr>
        <w:ind w:left="6658" w:hanging="420"/>
      </w:pPr>
      <w:rPr>
        <w:rFonts w:hint="eastAsia"/>
      </w:rPr>
    </w:lvl>
    <w:lvl w:ilvl="2" w:tentative="0">
      <w:start w:val="1"/>
      <w:numFmt w:val="lowerRoman"/>
      <w:lvlText w:val="%3."/>
      <w:lvlJc w:val="right"/>
      <w:pPr>
        <w:ind w:left="2089" w:hanging="420"/>
      </w:pPr>
    </w:lvl>
    <w:lvl w:ilvl="3" w:tentative="0">
      <w:start w:val="1"/>
      <w:numFmt w:val="decimal"/>
      <w:lvlText w:val="%4."/>
      <w:lvlJc w:val="left"/>
      <w:pPr>
        <w:ind w:left="2509" w:hanging="420"/>
      </w:pPr>
    </w:lvl>
    <w:lvl w:ilvl="4" w:tentative="0">
      <w:start w:val="1"/>
      <w:numFmt w:val="lowerLetter"/>
      <w:lvlText w:val="%5)"/>
      <w:lvlJc w:val="left"/>
      <w:pPr>
        <w:ind w:left="2929" w:hanging="420"/>
      </w:pPr>
    </w:lvl>
    <w:lvl w:ilvl="5" w:tentative="0">
      <w:start w:val="1"/>
      <w:numFmt w:val="lowerRoman"/>
      <w:lvlText w:val="%6."/>
      <w:lvlJc w:val="right"/>
      <w:pPr>
        <w:ind w:left="3349" w:hanging="420"/>
      </w:pPr>
    </w:lvl>
    <w:lvl w:ilvl="6" w:tentative="0">
      <w:start w:val="1"/>
      <w:numFmt w:val="decimal"/>
      <w:lvlText w:val="%7."/>
      <w:lvlJc w:val="left"/>
      <w:pPr>
        <w:ind w:left="3769" w:hanging="420"/>
      </w:pPr>
    </w:lvl>
    <w:lvl w:ilvl="7" w:tentative="0">
      <w:start w:val="1"/>
      <w:numFmt w:val="lowerLetter"/>
      <w:lvlText w:val="%8)"/>
      <w:lvlJc w:val="left"/>
      <w:pPr>
        <w:ind w:left="4189" w:hanging="420"/>
      </w:pPr>
    </w:lvl>
    <w:lvl w:ilvl="8" w:tentative="0">
      <w:start w:val="1"/>
      <w:numFmt w:val="lowerRoman"/>
      <w:lvlText w:val="%9."/>
      <w:lvlJc w:val="right"/>
      <w:pPr>
        <w:ind w:left="4609" w:hanging="420"/>
      </w:pPr>
    </w:lvl>
  </w:abstractNum>
  <w:abstractNum w:abstractNumId="66">
    <w:nsid w:val="7D8408F2"/>
    <w:multiLevelType w:val="singleLevel"/>
    <w:tmpl w:val="7D8408F2"/>
    <w:lvl w:ilvl="0" w:tentative="0">
      <w:start w:val="1"/>
      <w:numFmt w:val="lowerLetter"/>
      <w:lvlText w:val="%1."/>
      <w:lvlJc w:val="left"/>
      <w:pPr>
        <w:ind w:left="425" w:hanging="425"/>
      </w:pPr>
      <w:rPr>
        <w:rFonts w:hint="default"/>
      </w:rPr>
    </w:lvl>
  </w:abstractNum>
  <w:num w:numId="1">
    <w:abstractNumId w:val="37"/>
  </w:num>
  <w:num w:numId="2">
    <w:abstractNumId w:val="54"/>
  </w:num>
  <w:num w:numId="3">
    <w:abstractNumId w:val="43"/>
  </w:num>
  <w:num w:numId="4">
    <w:abstractNumId w:val="47"/>
  </w:num>
  <w:num w:numId="5">
    <w:abstractNumId w:val="11"/>
  </w:num>
  <w:num w:numId="6">
    <w:abstractNumId w:val="42"/>
  </w:num>
  <w:num w:numId="7">
    <w:abstractNumId w:val="15"/>
  </w:num>
  <w:num w:numId="8">
    <w:abstractNumId w:val="45"/>
  </w:num>
  <w:num w:numId="9">
    <w:abstractNumId w:val="35"/>
  </w:num>
  <w:num w:numId="10">
    <w:abstractNumId w:val="28"/>
  </w:num>
  <w:num w:numId="11">
    <w:abstractNumId w:val="16"/>
  </w:num>
  <w:num w:numId="12">
    <w:abstractNumId w:val="53"/>
  </w:num>
  <w:num w:numId="13">
    <w:abstractNumId w:val="31"/>
  </w:num>
  <w:num w:numId="14">
    <w:abstractNumId w:val="33"/>
  </w:num>
  <w:num w:numId="15">
    <w:abstractNumId w:val="22"/>
  </w:num>
  <w:num w:numId="16">
    <w:abstractNumId w:val="0"/>
  </w:num>
  <w:num w:numId="17">
    <w:abstractNumId w:val="14"/>
  </w:num>
  <w:num w:numId="18">
    <w:abstractNumId w:val="60"/>
  </w:num>
  <w:num w:numId="19">
    <w:abstractNumId w:val="34"/>
  </w:num>
  <w:num w:numId="20">
    <w:abstractNumId w:val="57"/>
  </w:num>
  <w:num w:numId="21">
    <w:abstractNumId w:val="13"/>
  </w:num>
  <w:num w:numId="22">
    <w:abstractNumId w:val="38"/>
  </w:num>
  <w:num w:numId="23">
    <w:abstractNumId w:val="27"/>
  </w:num>
  <w:num w:numId="24">
    <w:abstractNumId w:val="58"/>
  </w:num>
  <w:num w:numId="25">
    <w:abstractNumId w:val="41"/>
  </w:num>
  <w:num w:numId="26">
    <w:abstractNumId w:val="49"/>
  </w:num>
  <w:num w:numId="27">
    <w:abstractNumId w:val="52"/>
  </w:num>
  <w:num w:numId="28">
    <w:abstractNumId w:val="10"/>
  </w:num>
  <w:num w:numId="29">
    <w:abstractNumId w:val="7"/>
  </w:num>
  <w:num w:numId="30">
    <w:abstractNumId w:val="29"/>
  </w:num>
  <w:num w:numId="31">
    <w:abstractNumId w:val="61"/>
  </w:num>
  <w:num w:numId="32">
    <w:abstractNumId w:val="39"/>
  </w:num>
  <w:num w:numId="33">
    <w:abstractNumId w:val="40"/>
  </w:num>
  <w:num w:numId="34">
    <w:abstractNumId w:val="51"/>
  </w:num>
  <w:num w:numId="35">
    <w:abstractNumId w:val="48"/>
  </w:num>
  <w:num w:numId="36">
    <w:abstractNumId w:val="50"/>
  </w:num>
  <w:num w:numId="37">
    <w:abstractNumId w:val="26"/>
  </w:num>
  <w:num w:numId="38">
    <w:abstractNumId w:val="23"/>
  </w:num>
  <w:num w:numId="39">
    <w:abstractNumId w:val="44"/>
  </w:num>
  <w:num w:numId="40">
    <w:abstractNumId w:val="5"/>
  </w:num>
  <w:num w:numId="41">
    <w:abstractNumId w:val="36"/>
  </w:num>
  <w:num w:numId="42">
    <w:abstractNumId w:val="19"/>
  </w:num>
  <w:num w:numId="43">
    <w:abstractNumId w:val="4"/>
  </w:num>
  <w:num w:numId="44">
    <w:abstractNumId w:val="9"/>
  </w:num>
  <w:num w:numId="45">
    <w:abstractNumId w:val="6"/>
  </w:num>
  <w:num w:numId="46">
    <w:abstractNumId w:val="46"/>
  </w:num>
  <w:num w:numId="47">
    <w:abstractNumId w:val="12"/>
  </w:num>
  <w:num w:numId="48">
    <w:abstractNumId w:val="62"/>
  </w:num>
  <w:num w:numId="49">
    <w:abstractNumId w:val="24"/>
  </w:num>
  <w:num w:numId="50">
    <w:abstractNumId w:val="32"/>
  </w:num>
  <w:num w:numId="51">
    <w:abstractNumId w:val="55"/>
  </w:num>
  <w:num w:numId="52">
    <w:abstractNumId w:val="18"/>
  </w:num>
  <w:num w:numId="53">
    <w:abstractNumId w:val="17"/>
  </w:num>
  <w:num w:numId="54">
    <w:abstractNumId w:val="65"/>
  </w:num>
  <w:num w:numId="55">
    <w:abstractNumId w:val="30"/>
  </w:num>
  <w:num w:numId="56">
    <w:abstractNumId w:val="8"/>
  </w:num>
  <w:num w:numId="57">
    <w:abstractNumId w:val="59"/>
  </w:num>
  <w:num w:numId="58">
    <w:abstractNumId w:val="63"/>
  </w:num>
  <w:num w:numId="59">
    <w:abstractNumId w:val="2"/>
  </w:num>
  <w:num w:numId="60">
    <w:abstractNumId w:val="1"/>
  </w:num>
  <w:num w:numId="61">
    <w:abstractNumId w:val="25"/>
  </w:num>
  <w:num w:numId="62">
    <w:abstractNumId w:val="3"/>
  </w:num>
  <w:num w:numId="63">
    <w:abstractNumId w:val="66"/>
  </w:num>
  <w:num w:numId="64">
    <w:abstractNumId w:val="64"/>
  </w:num>
  <w:num w:numId="65">
    <w:abstractNumId w:val="20"/>
  </w:num>
  <w:num w:numId="66">
    <w:abstractNumId w:val="56"/>
  </w:num>
  <w:num w:numId="6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trackRevisions w:val="1"/>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4NTQ5NTY4ZGZkMzMzNmQyZjE2MTMzYWNkNmNjODMifQ=="/>
  </w:docVars>
  <w:rsids>
    <w:rsidRoot w:val="00172A27"/>
    <w:rsid w:val="000001BA"/>
    <w:rsid w:val="00000D30"/>
    <w:rsid w:val="000036B1"/>
    <w:rsid w:val="00011EA6"/>
    <w:rsid w:val="00014632"/>
    <w:rsid w:val="00016939"/>
    <w:rsid w:val="00016A49"/>
    <w:rsid w:val="00016E22"/>
    <w:rsid w:val="000249FD"/>
    <w:rsid w:val="000264C9"/>
    <w:rsid w:val="000307EF"/>
    <w:rsid w:val="00032BFE"/>
    <w:rsid w:val="00035E2F"/>
    <w:rsid w:val="00041946"/>
    <w:rsid w:val="00042509"/>
    <w:rsid w:val="00045660"/>
    <w:rsid w:val="00046870"/>
    <w:rsid w:val="000478E1"/>
    <w:rsid w:val="00050724"/>
    <w:rsid w:val="000555E3"/>
    <w:rsid w:val="0006007F"/>
    <w:rsid w:val="000603A7"/>
    <w:rsid w:val="000609AA"/>
    <w:rsid w:val="0006143E"/>
    <w:rsid w:val="00061931"/>
    <w:rsid w:val="000634CC"/>
    <w:rsid w:val="00063A77"/>
    <w:rsid w:val="0006561A"/>
    <w:rsid w:val="00070398"/>
    <w:rsid w:val="0007273E"/>
    <w:rsid w:val="00073119"/>
    <w:rsid w:val="00075872"/>
    <w:rsid w:val="00075D0C"/>
    <w:rsid w:val="0007693B"/>
    <w:rsid w:val="000771A6"/>
    <w:rsid w:val="0008176D"/>
    <w:rsid w:val="000832EE"/>
    <w:rsid w:val="000842E4"/>
    <w:rsid w:val="00087420"/>
    <w:rsid w:val="00087DA8"/>
    <w:rsid w:val="00091003"/>
    <w:rsid w:val="0009264B"/>
    <w:rsid w:val="00093A84"/>
    <w:rsid w:val="00094B6E"/>
    <w:rsid w:val="000951C5"/>
    <w:rsid w:val="00096A5F"/>
    <w:rsid w:val="000A0493"/>
    <w:rsid w:val="000A16AD"/>
    <w:rsid w:val="000A6BA6"/>
    <w:rsid w:val="000B0F7B"/>
    <w:rsid w:val="000B1C0C"/>
    <w:rsid w:val="000B247E"/>
    <w:rsid w:val="000B2A89"/>
    <w:rsid w:val="000B79D6"/>
    <w:rsid w:val="000C06E2"/>
    <w:rsid w:val="000C187D"/>
    <w:rsid w:val="000C252E"/>
    <w:rsid w:val="000C3A34"/>
    <w:rsid w:val="000C4070"/>
    <w:rsid w:val="000D0520"/>
    <w:rsid w:val="000D2E3F"/>
    <w:rsid w:val="000E0221"/>
    <w:rsid w:val="000E2F32"/>
    <w:rsid w:val="000E4AEA"/>
    <w:rsid w:val="000E66B7"/>
    <w:rsid w:val="000F026F"/>
    <w:rsid w:val="000F4059"/>
    <w:rsid w:val="000F4BD4"/>
    <w:rsid w:val="000F6A1A"/>
    <w:rsid w:val="001006CD"/>
    <w:rsid w:val="00101FBD"/>
    <w:rsid w:val="00106544"/>
    <w:rsid w:val="001068A6"/>
    <w:rsid w:val="00106B4B"/>
    <w:rsid w:val="00112556"/>
    <w:rsid w:val="00117E94"/>
    <w:rsid w:val="00124B4D"/>
    <w:rsid w:val="00124B7B"/>
    <w:rsid w:val="00131D56"/>
    <w:rsid w:val="0013313C"/>
    <w:rsid w:val="00136560"/>
    <w:rsid w:val="00136BB5"/>
    <w:rsid w:val="00137176"/>
    <w:rsid w:val="00137F7B"/>
    <w:rsid w:val="00141252"/>
    <w:rsid w:val="00142C85"/>
    <w:rsid w:val="00143C60"/>
    <w:rsid w:val="00145DBE"/>
    <w:rsid w:val="00146EDF"/>
    <w:rsid w:val="00151EDF"/>
    <w:rsid w:val="00155E95"/>
    <w:rsid w:val="00156241"/>
    <w:rsid w:val="00160484"/>
    <w:rsid w:val="001610B5"/>
    <w:rsid w:val="00161BF0"/>
    <w:rsid w:val="00163C99"/>
    <w:rsid w:val="00165E34"/>
    <w:rsid w:val="001671BE"/>
    <w:rsid w:val="0016765E"/>
    <w:rsid w:val="00170F84"/>
    <w:rsid w:val="00172A27"/>
    <w:rsid w:val="001747F0"/>
    <w:rsid w:val="00174CA3"/>
    <w:rsid w:val="001768FE"/>
    <w:rsid w:val="001802E4"/>
    <w:rsid w:val="0018123E"/>
    <w:rsid w:val="001822B6"/>
    <w:rsid w:val="001827BF"/>
    <w:rsid w:val="00187540"/>
    <w:rsid w:val="00187AAC"/>
    <w:rsid w:val="001921F6"/>
    <w:rsid w:val="00192B7C"/>
    <w:rsid w:val="001A377E"/>
    <w:rsid w:val="001A4377"/>
    <w:rsid w:val="001A4C90"/>
    <w:rsid w:val="001A5D07"/>
    <w:rsid w:val="001A7385"/>
    <w:rsid w:val="001B21C3"/>
    <w:rsid w:val="001B37A0"/>
    <w:rsid w:val="001B5DE6"/>
    <w:rsid w:val="001D0145"/>
    <w:rsid w:val="001E20D9"/>
    <w:rsid w:val="001E76FE"/>
    <w:rsid w:val="001E7851"/>
    <w:rsid w:val="001F2480"/>
    <w:rsid w:val="001F2FE1"/>
    <w:rsid w:val="001F40A3"/>
    <w:rsid w:val="001F550A"/>
    <w:rsid w:val="001F5815"/>
    <w:rsid w:val="001F75B8"/>
    <w:rsid w:val="00200155"/>
    <w:rsid w:val="0020226C"/>
    <w:rsid w:val="0020261E"/>
    <w:rsid w:val="00202661"/>
    <w:rsid w:val="00204DF0"/>
    <w:rsid w:val="0020517F"/>
    <w:rsid w:val="00220E2B"/>
    <w:rsid w:val="00221050"/>
    <w:rsid w:val="002222FB"/>
    <w:rsid w:val="002224F0"/>
    <w:rsid w:val="0023045F"/>
    <w:rsid w:val="0023111A"/>
    <w:rsid w:val="00235B4B"/>
    <w:rsid w:val="00240AA4"/>
    <w:rsid w:val="002436E6"/>
    <w:rsid w:val="00243BD6"/>
    <w:rsid w:val="00244693"/>
    <w:rsid w:val="002476A7"/>
    <w:rsid w:val="00247C57"/>
    <w:rsid w:val="00252CE4"/>
    <w:rsid w:val="00253AFC"/>
    <w:rsid w:val="002565BC"/>
    <w:rsid w:val="00257B23"/>
    <w:rsid w:val="0026019C"/>
    <w:rsid w:val="00261B47"/>
    <w:rsid w:val="00267237"/>
    <w:rsid w:val="00274F6F"/>
    <w:rsid w:val="00275FB1"/>
    <w:rsid w:val="00281263"/>
    <w:rsid w:val="002855AD"/>
    <w:rsid w:val="00285CFD"/>
    <w:rsid w:val="00285D2B"/>
    <w:rsid w:val="00293D64"/>
    <w:rsid w:val="00293DD5"/>
    <w:rsid w:val="00294A0C"/>
    <w:rsid w:val="0029775C"/>
    <w:rsid w:val="002A0392"/>
    <w:rsid w:val="002A0DD7"/>
    <w:rsid w:val="002A18A0"/>
    <w:rsid w:val="002B1F4E"/>
    <w:rsid w:val="002B5456"/>
    <w:rsid w:val="002B5C9E"/>
    <w:rsid w:val="002B7E4C"/>
    <w:rsid w:val="002C2652"/>
    <w:rsid w:val="002C31DE"/>
    <w:rsid w:val="002C428F"/>
    <w:rsid w:val="002C44A6"/>
    <w:rsid w:val="002C540B"/>
    <w:rsid w:val="002D12BD"/>
    <w:rsid w:val="002E174B"/>
    <w:rsid w:val="002E26AE"/>
    <w:rsid w:val="002E4874"/>
    <w:rsid w:val="002E57AF"/>
    <w:rsid w:val="002E651A"/>
    <w:rsid w:val="002E6960"/>
    <w:rsid w:val="002F02AF"/>
    <w:rsid w:val="002F0C80"/>
    <w:rsid w:val="002F0D7A"/>
    <w:rsid w:val="002F3A91"/>
    <w:rsid w:val="002F4D28"/>
    <w:rsid w:val="00301722"/>
    <w:rsid w:val="0030349F"/>
    <w:rsid w:val="0030532D"/>
    <w:rsid w:val="00305E20"/>
    <w:rsid w:val="00306522"/>
    <w:rsid w:val="003079D4"/>
    <w:rsid w:val="00307F92"/>
    <w:rsid w:val="003108C2"/>
    <w:rsid w:val="00313EE1"/>
    <w:rsid w:val="00315986"/>
    <w:rsid w:val="00321F00"/>
    <w:rsid w:val="00322715"/>
    <w:rsid w:val="00330EAA"/>
    <w:rsid w:val="003352D3"/>
    <w:rsid w:val="003405B3"/>
    <w:rsid w:val="00341C3F"/>
    <w:rsid w:val="003430A1"/>
    <w:rsid w:val="003457D8"/>
    <w:rsid w:val="00346BB5"/>
    <w:rsid w:val="0034766B"/>
    <w:rsid w:val="0035069A"/>
    <w:rsid w:val="00350877"/>
    <w:rsid w:val="00354451"/>
    <w:rsid w:val="0035463F"/>
    <w:rsid w:val="0036050F"/>
    <w:rsid w:val="003632FE"/>
    <w:rsid w:val="00364051"/>
    <w:rsid w:val="00364845"/>
    <w:rsid w:val="00364D12"/>
    <w:rsid w:val="0036615D"/>
    <w:rsid w:val="003705CC"/>
    <w:rsid w:val="00371B32"/>
    <w:rsid w:val="003733B4"/>
    <w:rsid w:val="00374C25"/>
    <w:rsid w:val="00375624"/>
    <w:rsid w:val="0038040D"/>
    <w:rsid w:val="00387A17"/>
    <w:rsid w:val="00391E49"/>
    <w:rsid w:val="003926CF"/>
    <w:rsid w:val="00397B85"/>
    <w:rsid w:val="003A4A3D"/>
    <w:rsid w:val="003A4B0E"/>
    <w:rsid w:val="003A5802"/>
    <w:rsid w:val="003A6419"/>
    <w:rsid w:val="003A7119"/>
    <w:rsid w:val="003B1A2B"/>
    <w:rsid w:val="003B3CAC"/>
    <w:rsid w:val="003B4637"/>
    <w:rsid w:val="003C027C"/>
    <w:rsid w:val="003C2BB1"/>
    <w:rsid w:val="003C4A4A"/>
    <w:rsid w:val="003C4D9C"/>
    <w:rsid w:val="003C6009"/>
    <w:rsid w:val="003D1BE5"/>
    <w:rsid w:val="003D2CE0"/>
    <w:rsid w:val="003D2DEC"/>
    <w:rsid w:val="003D2E19"/>
    <w:rsid w:val="003D3843"/>
    <w:rsid w:val="003D71B5"/>
    <w:rsid w:val="003E03E8"/>
    <w:rsid w:val="003E1502"/>
    <w:rsid w:val="003E3518"/>
    <w:rsid w:val="003E5170"/>
    <w:rsid w:val="003E5846"/>
    <w:rsid w:val="003F0AB0"/>
    <w:rsid w:val="00401358"/>
    <w:rsid w:val="004014C4"/>
    <w:rsid w:val="00402601"/>
    <w:rsid w:val="004029D8"/>
    <w:rsid w:val="0040326F"/>
    <w:rsid w:val="004045EB"/>
    <w:rsid w:val="00405DB6"/>
    <w:rsid w:val="00411DD9"/>
    <w:rsid w:val="00413EC2"/>
    <w:rsid w:val="0042022C"/>
    <w:rsid w:val="004203C6"/>
    <w:rsid w:val="00420421"/>
    <w:rsid w:val="004236B7"/>
    <w:rsid w:val="004319CA"/>
    <w:rsid w:val="00432C1F"/>
    <w:rsid w:val="004349E3"/>
    <w:rsid w:val="00435CFC"/>
    <w:rsid w:val="00436719"/>
    <w:rsid w:val="00442268"/>
    <w:rsid w:val="00444982"/>
    <w:rsid w:val="004478B5"/>
    <w:rsid w:val="004514A9"/>
    <w:rsid w:val="004553FB"/>
    <w:rsid w:val="00462AED"/>
    <w:rsid w:val="00467116"/>
    <w:rsid w:val="0047097E"/>
    <w:rsid w:val="00471BAB"/>
    <w:rsid w:val="00472833"/>
    <w:rsid w:val="00472D69"/>
    <w:rsid w:val="00473CC9"/>
    <w:rsid w:val="00480755"/>
    <w:rsid w:val="004859C1"/>
    <w:rsid w:val="00486136"/>
    <w:rsid w:val="00490FB7"/>
    <w:rsid w:val="004916B4"/>
    <w:rsid w:val="00491B96"/>
    <w:rsid w:val="0049319F"/>
    <w:rsid w:val="004940C6"/>
    <w:rsid w:val="004941C1"/>
    <w:rsid w:val="00495BF0"/>
    <w:rsid w:val="00495EF8"/>
    <w:rsid w:val="004A2074"/>
    <w:rsid w:val="004A25F4"/>
    <w:rsid w:val="004A4606"/>
    <w:rsid w:val="004A7305"/>
    <w:rsid w:val="004B1AAC"/>
    <w:rsid w:val="004B2C57"/>
    <w:rsid w:val="004B5137"/>
    <w:rsid w:val="004B59E9"/>
    <w:rsid w:val="004B5A6F"/>
    <w:rsid w:val="004B5F82"/>
    <w:rsid w:val="004C0C2A"/>
    <w:rsid w:val="004C50C4"/>
    <w:rsid w:val="004C6157"/>
    <w:rsid w:val="004C72BF"/>
    <w:rsid w:val="004D2BF8"/>
    <w:rsid w:val="004D3A39"/>
    <w:rsid w:val="004D4DF3"/>
    <w:rsid w:val="004E0A0F"/>
    <w:rsid w:val="004E1AB2"/>
    <w:rsid w:val="004E42E9"/>
    <w:rsid w:val="004E4718"/>
    <w:rsid w:val="004E651E"/>
    <w:rsid w:val="004E6F8B"/>
    <w:rsid w:val="004E7B6B"/>
    <w:rsid w:val="004F3870"/>
    <w:rsid w:val="004F6031"/>
    <w:rsid w:val="004F61A3"/>
    <w:rsid w:val="004F7758"/>
    <w:rsid w:val="00506217"/>
    <w:rsid w:val="005078D0"/>
    <w:rsid w:val="0051124E"/>
    <w:rsid w:val="0051762C"/>
    <w:rsid w:val="005220EE"/>
    <w:rsid w:val="0052406D"/>
    <w:rsid w:val="0052420E"/>
    <w:rsid w:val="00525621"/>
    <w:rsid w:val="00525CC8"/>
    <w:rsid w:val="00526407"/>
    <w:rsid w:val="005277AF"/>
    <w:rsid w:val="00530123"/>
    <w:rsid w:val="00537D45"/>
    <w:rsid w:val="00541464"/>
    <w:rsid w:val="00541EE2"/>
    <w:rsid w:val="00543583"/>
    <w:rsid w:val="005439C5"/>
    <w:rsid w:val="00543E4E"/>
    <w:rsid w:val="00544204"/>
    <w:rsid w:val="00546C67"/>
    <w:rsid w:val="00546D34"/>
    <w:rsid w:val="00550BDD"/>
    <w:rsid w:val="005520C2"/>
    <w:rsid w:val="005538A9"/>
    <w:rsid w:val="00557F16"/>
    <w:rsid w:val="005611DF"/>
    <w:rsid w:val="00561D7F"/>
    <w:rsid w:val="005669EE"/>
    <w:rsid w:val="00570D3D"/>
    <w:rsid w:val="00572778"/>
    <w:rsid w:val="00575E5F"/>
    <w:rsid w:val="00576CB1"/>
    <w:rsid w:val="00577381"/>
    <w:rsid w:val="00580353"/>
    <w:rsid w:val="00580524"/>
    <w:rsid w:val="00581657"/>
    <w:rsid w:val="0058591D"/>
    <w:rsid w:val="005866F7"/>
    <w:rsid w:val="00587982"/>
    <w:rsid w:val="00590CEF"/>
    <w:rsid w:val="00593923"/>
    <w:rsid w:val="00593A61"/>
    <w:rsid w:val="00597F54"/>
    <w:rsid w:val="005A0BD8"/>
    <w:rsid w:val="005A0CEF"/>
    <w:rsid w:val="005A25E7"/>
    <w:rsid w:val="005A2AFE"/>
    <w:rsid w:val="005A4632"/>
    <w:rsid w:val="005A5AA8"/>
    <w:rsid w:val="005A6443"/>
    <w:rsid w:val="005A6555"/>
    <w:rsid w:val="005B5CA1"/>
    <w:rsid w:val="005B6482"/>
    <w:rsid w:val="005B7557"/>
    <w:rsid w:val="005B796E"/>
    <w:rsid w:val="005C01DF"/>
    <w:rsid w:val="005C05A2"/>
    <w:rsid w:val="005C0A59"/>
    <w:rsid w:val="005C0CBB"/>
    <w:rsid w:val="005C1597"/>
    <w:rsid w:val="005C4067"/>
    <w:rsid w:val="005C50A9"/>
    <w:rsid w:val="005C5484"/>
    <w:rsid w:val="005D0298"/>
    <w:rsid w:val="005D0FE6"/>
    <w:rsid w:val="005D1C8C"/>
    <w:rsid w:val="005D4495"/>
    <w:rsid w:val="005D5439"/>
    <w:rsid w:val="005D7F5C"/>
    <w:rsid w:val="005E0C77"/>
    <w:rsid w:val="005E4A19"/>
    <w:rsid w:val="005E689F"/>
    <w:rsid w:val="005F1DAE"/>
    <w:rsid w:val="005F259D"/>
    <w:rsid w:val="005F3902"/>
    <w:rsid w:val="005F3AAE"/>
    <w:rsid w:val="005F4302"/>
    <w:rsid w:val="005F610D"/>
    <w:rsid w:val="005F66A9"/>
    <w:rsid w:val="005F79E7"/>
    <w:rsid w:val="00602033"/>
    <w:rsid w:val="006037D9"/>
    <w:rsid w:val="00604E7E"/>
    <w:rsid w:val="0060550E"/>
    <w:rsid w:val="00605564"/>
    <w:rsid w:val="00605748"/>
    <w:rsid w:val="00605F1B"/>
    <w:rsid w:val="0060672E"/>
    <w:rsid w:val="006106F3"/>
    <w:rsid w:val="0061336D"/>
    <w:rsid w:val="006155C8"/>
    <w:rsid w:val="0061728D"/>
    <w:rsid w:val="00620B0D"/>
    <w:rsid w:val="00623726"/>
    <w:rsid w:val="00625D03"/>
    <w:rsid w:val="006270F0"/>
    <w:rsid w:val="00630C80"/>
    <w:rsid w:val="0063236A"/>
    <w:rsid w:val="006352D2"/>
    <w:rsid w:val="00641F7B"/>
    <w:rsid w:val="00643722"/>
    <w:rsid w:val="00645E21"/>
    <w:rsid w:val="00652B3A"/>
    <w:rsid w:val="00656374"/>
    <w:rsid w:val="0066647E"/>
    <w:rsid w:val="00666EB1"/>
    <w:rsid w:val="00667A98"/>
    <w:rsid w:val="00667B68"/>
    <w:rsid w:val="0067588D"/>
    <w:rsid w:val="00675CFA"/>
    <w:rsid w:val="00677046"/>
    <w:rsid w:val="0067722B"/>
    <w:rsid w:val="0068056C"/>
    <w:rsid w:val="0068731E"/>
    <w:rsid w:val="00693023"/>
    <w:rsid w:val="00693C26"/>
    <w:rsid w:val="006953F7"/>
    <w:rsid w:val="0069623D"/>
    <w:rsid w:val="00697678"/>
    <w:rsid w:val="006A1C13"/>
    <w:rsid w:val="006A20EB"/>
    <w:rsid w:val="006A2963"/>
    <w:rsid w:val="006A3301"/>
    <w:rsid w:val="006A6E9D"/>
    <w:rsid w:val="006B5126"/>
    <w:rsid w:val="006B520D"/>
    <w:rsid w:val="006B6B6F"/>
    <w:rsid w:val="006C36D1"/>
    <w:rsid w:val="006C3B75"/>
    <w:rsid w:val="006C460E"/>
    <w:rsid w:val="006C5F33"/>
    <w:rsid w:val="006D5F96"/>
    <w:rsid w:val="006E0B17"/>
    <w:rsid w:val="006E25ED"/>
    <w:rsid w:val="006E3421"/>
    <w:rsid w:val="006E4F43"/>
    <w:rsid w:val="006E5024"/>
    <w:rsid w:val="006F4097"/>
    <w:rsid w:val="00703186"/>
    <w:rsid w:val="00703315"/>
    <w:rsid w:val="00713515"/>
    <w:rsid w:val="007165CD"/>
    <w:rsid w:val="00717DEF"/>
    <w:rsid w:val="00723DA6"/>
    <w:rsid w:val="00725A7E"/>
    <w:rsid w:val="0073163D"/>
    <w:rsid w:val="00733BD3"/>
    <w:rsid w:val="00734963"/>
    <w:rsid w:val="007428C8"/>
    <w:rsid w:val="007441DA"/>
    <w:rsid w:val="0074770D"/>
    <w:rsid w:val="00747F2D"/>
    <w:rsid w:val="0075359C"/>
    <w:rsid w:val="0075375D"/>
    <w:rsid w:val="007548E9"/>
    <w:rsid w:val="00757252"/>
    <w:rsid w:val="007576F1"/>
    <w:rsid w:val="0075794F"/>
    <w:rsid w:val="00760238"/>
    <w:rsid w:val="00760720"/>
    <w:rsid w:val="007611F7"/>
    <w:rsid w:val="00761676"/>
    <w:rsid w:val="0076446F"/>
    <w:rsid w:val="00772079"/>
    <w:rsid w:val="00773B87"/>
    <w:rsid w:val="00781125"/>
    <w:rsid w:val="00781311"/>
    <w:rsid w:val="0078421D"/>
    <w:rsid w:val="007859E0"/>
    <w:rsid w:val="00793C55"/>
    <w:rsid w:val="00795637"/>
    <w:rsid w:val="007A0CE1"/>
    <w:rsid w:val="007A3E07"/>
    <w:rsid w:val="007A52CE"/>
    <w:rsid w:val="007A7088"/>
    <w:rsid w:val="007A7BFB"/>
    <w:rsid w:val="007B317A"/>
    <w:rsid w:val="007B345F"/>
    <w:rsid w:val="007B3B5A"/>
    <w:rsid w:val="007B48EE"/>
    <w:rsid w:val="007B6BC9"/>
    <w:rsid w:val="007B6C96"/>
    <w:rsid w:val="007C1AEE"/>
    <w:rsid w:val="007C37E4"/>
    <w:rsid w:val="007C3CB5"/>
    <w:rsid w:val="007C5D74"/>
    <w:rsid w:val="007D05C5"/>
    <w:rsid w:val="007D0820"/>
    <w:rsid w:val="007D2B6E"/>
    <w:rsid w:val="007D4DAA"/>
    <w:rsid w:val="007D57BD"/>
    <w:rsid w:val="007D7894"/>
    <w:rsid w:val="007E2A25"/>
    <w:rsid w:val="007E309C"/>
    <w:rsid w:val="007E488A"/>
    <w:rsid w:val="007E5544"/>
    <w:rsid w:val="007E5B56"/>
    <w:rsid w:val="007E6294"/>
    <w:rsid w:val="007E6D4E"/>
    <w:rsid w:val="007F0493"/>
    <w:rsid w:val="007F061C"/>
    <w:rsid w:val="007F091E"/>
    <w:rsid w:val="007F436B"/>
    <w:rsid w:val="007F503C"/>
    <w:rsid w:val="007F59A9"/>
    <w:rsid w:val="007F7373"/>
    <w:rsid w:val="00800DBB"/>
    <w:rsid w:val="00800E38"/>
    <w:rsid w:val="00801C81"/>
    <w:rsid w:val="00802054"/>
    <w:rsid w:val="00802807"/>
    <w:rsid w:val="00802BC3"/>
    <w:rsid w:val="00811B26"/>
    <w:rsid w:val="00812FFC"/>
    <w:rsid w:val="008203B5"/>
    <w:rsid w:val="00823172"/>
    <w:rsid w:val="00825375"/>
    <w:rsid w:val="008255FA"/>
    <w:rsid w:val="00834FAA"/>
    <w:rsid w:val="00835DEA"/>
    <w:rsid w:val="0084009B"/>
    <w:rsid w:val="00844D98"/>
    <w:rsid w:val="00845A70"/>
    <w:rsid w:val="008469F6"/>
    <w:rsid w:val="00847466"/>
    <w:rsid w:val="00851534"/>
    <w:rsid w:val="00851F94"/>
    <w:rsid w:val="00853104"/>
    <w:rsid w:val="0086271F"/>
    <w:rsid w:val="00862D34"/>
    <w:rsid w:val="00865188"/>
    <w:rsid w:val="00873489"/>
    <w:rsid w:val="0087540E"/>
    <w:rsid w:val="00875CF3"/>
    <w:rsid w:val="00880217"/>
    <w:rsid w:val="008814A8"/>
    <w:rsid w:val="00884C8F"/>
    <w:rsid w:val="00887D3E"/>
    <w:rsid w:val="008921F2"/>
    <w:rsid w:val="00893B42"/>
    <w:rsid w:val="00893C44"/>
    <w:rsid w:val="008A0D08"/>
    <w:rsid w:val="008A2502"/>
    <w:rsid w:val="008A2B09"/>
    <w:rsid w:val="008A3DA0"/>
    <w:rsid w:val="008A3DCD"/>
    <w:rsid w:val="008A42A1"/>
    <w:rsid w:val="008A528C"/>
    <w:rsid w:val="008B2D74"/>
    <w:rsid w:val="008B5D3A"/>
    <w:rsid w:val="008B6388"/>
    <w:rsid w:val="008B6FCB"/>
    <w:rsid w:val="008C1F1D"/>
    <w:rsid w:val="008D5618"/>
    <w:rsid w:val="008E0A03"/>
    <w:rsid w:val="008F1F12"/>
    <w:rsid w:val="008F6D4F"/>
    <w:rsid w:val="008F77B1"/>
    <w:rsid w:val="0090139E"/>
    <w:rsid w:val="00903529"/>
    <w:rsid w:val="009043E0"/>
    <w:rsid w:val="00905F40"/>
    <w:rsid w:val="009104CC"/>
    <w:rsid w:val="00910BC9"/>
    <w:rsid w:val="0091213B"/>
    <w:rsid w:val="00912F46"/>
    <w:rsid w:val="00913EE6"/>
    <w:rsid w:val="00914587"/>
    <w:rsid w:val="00916095"/>
    <w:rsid w:val="009208FE"/>
    <w:rsid w:val="00925A00"/>
    <w:rsid w:val="009337DB"/>
    <w:rsid w:val="00933EC1"/>
    <w:rsid w:val="00934759"/>
    <w:rsid w:val="00935BA8"/>
    <w:rsid w:val="00936B27"/>
    <w:rsid w:val="009370B7"/>
    <w:rsid w:val="009401A5"/>
    <w:rsid w:val="00940B1E"/>
    <w:rsid w:val="0094299D"/>
    <w:rsid w:val="00942E7A"/>
    <w:rsid w:val="009435B4"/>
    <w:rsid w:val="00944455"/>
    <w:rsid w:val="00944E77"/>
    <w:rsid w:val="009455F6"/>
    <w:rsid w:val="009468B9"/>
    <w:rsid w:val="009506D6"/>
    <w:rsid w:val="00951A52"/>
    <w:rsid w:val="00955D65"/>
    <w:rsid w:val="009561C3"/>
    <w:rsid w:val="009578F3"/>
    <w:rsid w:val="00960F27"/>
    <w:rsid w:val="00963730"/>
    <w:rsid w:val="009641B9"/>
    <w:rsid w:val="00967002"/>
    <w:rsid w:val="009726DD"/>
    <w:rsid w:val="009750C4"/>
    <w:rsid w:val="009761C6"/>
    <w:rsid w:val="009762D7"/>
    <w:rsid w:val="00980D03"/>
    <w:rsid w:val="00980D5F"/>
    <w:rsid w:val="00982378"/>
    <w:rsid w:val="00986FC3"/>
    <w:rsid w:val="009901B2"/>
    <w:rsid w:val="00994005"/>
    <w:rsid w:val="00995688"/>
    <w:rsid w:val="00996339"/>
    <w:rsid w:val="00996453"/>
    <w:rsid w:val="00996479"/>
    <w:rsid w:val="00996533"/>
    <w:rsid w:val="0099719A"/>
    <w:rsid w:val="009A07D1"/>
    <w:rsid w:val="009A0EDE"/>
    <w:rsid w:val="009A3325"/>
    <w:rsid w:val="009A522C"/>
    <w:rsid w:val="009B57FA"/>
    <w:rsid w:val="009B6325"/>
    <w:rsid w:val="009B6DCA"/>
    <w:rsid w:val="009C12BC"/>
    <w:rsid w:val="009C19AD"/>
    <w:rsid w:val="009C3C80"/>
    <w:rsid w:val="009C76F0"/>
    <w:rsid w:val="009C7B4B"/>
    <w:rsid w:val="009C7DAE"/>
    <w:rsid w:val="009D0ABE"/>
    <w:rsid w:val="009D177A"/>
    <w:rsid w:val="009D24B1"/>
    <w:rsid w:val="009D3157"/>
    <w:rsid w:val="009D33AE"/>
    <w:rsid w:val="009D5A42"/>
    <w:rsid w:val="009D726D"/>
    <w:rsid w:val="009D7895"/>
    <w:rsid w:val="009E00DD"/>
    <w:rsid w:val="009E38E2"/>
    <w:rsid w:val="009E56A1"/>
    <w:rsid w:val="009F02A2"/>
    <w:rsid w:val="009F04AF"/>
    <w:rsid w:val="009F06BD"/>
    <w:rsid w:val="009F381C"/>
    <w:rsid w:val="009F39FB"/>
    <w:rsid w:val="009F4419"/>
    <w:rsid w:val="009F44EE"/>
    <w:rsid w:val="009F4CAA"/>
    <w:rsid w:val="009F5921"/>
    <w:rsid w:val="00A0188D"/>
    <w:rsid w:val="00A02C00"/>
    <w:rsid w:val="00A02E57"/>
    <w:rsid w:val="00A05D0B"/>
    <w:rsid w:val="00A07541"/>
    <w:rsid w:val="00A11457"/>
    <w:rsid w:val="00A1593F"/>
    <w:rsid w:val="00A17CA0"/>
    <w:rsid w:val="00A25A4B"/>
    <w:rsid w:val="00A25AF1"/>
    <w:rsid w:val="00A269CA"/>
    <w:rsid w:val="00A308EC"/>
    <w:rsid w:val="00A31113"/>
    <w:rsid w:val="00A353D3"/>
    <w:rsid w:val="00A360E6"/>
    <w:rsid w:val="00A36F6B"/>
    <w:rsid w:val="00A3729C"/>
    <w:rsid w:val="00A376F5"/>
    <w:rsid w:val="00A4454D"/>
    <w:rsid w:val="00A44F45"/>
    <w:rsid w:val="00A450E8"/>
    <w:rsid w:val="00A47938"/>
    <w:rsid w:val="00A47CA0"/>
    <w:rsid w:val="00A51D4F"/>
    <w:rsid w:val="00A605DE"/>
    <w:rsid w:val="00A617E9"/>
    <w:rsid w:val="00A63303"/>
    <w:rsid w:val="00A657B7"/>
    <w:rsid w:val="00A6655D"/>
    <w:rsid w:val="00A66B8D"/>
    <w:rsid w:val="00A67BFF"/>
    <w:rsid w:val="00A67C47"/>
    <w:rsid w:val="00A7225B"/>
    <w:rsid w:val="00A72F97"/>
    <w:rsid w:val="00A7416D"/>
    <w:rsid w:val="00A7480E"/>
    <w:rsid w:val="00A754D4"/>
    <w:rsid w:val="00A756C1"/>
    <w:rsid w:val="00A76D0C"/>
    <w:rsid w:val="00A76F81"/>
    <w:rsid w:val="00A858B6"/>
    <w:rsid w:val="00A861FE"/>
    <w:rsid w:val="00A90F62"/>
    <w:rsid w:val="00A9263E"/>
    <w:rsid w:val="00A94AFB"/>
    <w:rsid w:val="00A96358"/>
    <w:rsid w:val="00AA0596"/>
    <w:rsid w:val="00AA3335"/>
    <w:rsid w:val="00AA473E"/>
    <w:rsid w:val="00AA4C48"/>
    <w:rsid w:val="00AA5904"/>
    <w:rsid w:val="00AA6689"/>
    <w:rsid w:val="00AB1107"/>
    <w:rsid w:val="00AB1229"/>
    <w:rsid w:val="00AB2E59"/>
    <w:rsid w:val="00AC00ED"/>
    <w:rsid w:val="00AC147F"/>
    <w:rsid w:val="00AC1C75"/>
    <w:rsid w:val="00AC3A0F"/>
    <w:rsid w:val="00AD0B45"/>
    <w:rsid w:val="00AD1FF8"/>
    <w:rsid w:val="00AE12B6"/>
    <w:rsid w:val="00AE25BE"/>
    <w:rsid w:val="00AE34AE"/>
    <w:rsid w:val="00AE4867"/>
    <w:rsid w:val="00AE6E5A"/>
    <w:rsid w:val="00AF17F1"/>
    <w:rsid w:val="00AF1C0F"/>
    <w:rsid w:val="00AF6531"/>
    <w:rsid w:val="00B03FF4"/>
    <w:rsid w:val="00B04350"/>
    <w:rsid w:val="00B04B37"/>
    <w:rsid w:val="00B07BC7"/>
    <w:rsid w:val="00B10812"/>
    <w:rsid w:val="00B12C72"/>
    <w:rsid w:val="00B136F0"/>
    <w:rsid w:val="00B13CFA"/>
    <w:rsid w:val="00B16795"/>
    <w:rsid w:val="00B179F2"/>
    <w:rsid w:val="00B17D0B"/>
    <w:rsid w:val="00B20101"/>
    <w:rsid w:val="00B22F6B"/>
    <w:rsid w:val="00B2454F"/>
    <w:rsid w:val="00B247B4"/>
    <w:rsid w:val="00B27343"/>
    <w:rsid w:val="00B3095B"/>
    <w:rsid w:val="00B31226"/>
    <w:rsid w:val="00B31BCB"/>
    <w:rsid w:val="00B32303"/>
    <w:rsid w:val="00B351A9"/>
    <w:rsid w:val="00B3685F"/>
    <w:rsid w:val="00B37391"/>
    <w:rsid w:val="00B41EB7"/>
    <w:rsid w:val="00B43D6A"/>
    <w:rsid w:val="00B4764B"/>
    <w:rsid w:val="00B5021A"/>
    <w:rsid w:val="00B50CF0"/>
    <w:rsid w:val="00B51963"/>
    <w:rsid w:val="00B51A35"/>
    <w:rsid w:val="00B51FD1"/>
    <w:rsid w:val="00B53301"/>
    <w:rsid w:val="00B539F1"/>
    <w:rsid w:val="00B569A2"/>
    <w:rsid w:val="00B625BC"/>
    <w:rsid w:val="00B63639"/>
    <w:rsid w:val="00B6551F"/>
    <w:rsid w:val="00B71261"/>
    <w:rsid w:val="00B7206A"/>
    <w:rsid w:val="00B72FEA"/>
    <w:rsid w:val="00B73371"/>
    <w:rsid w:val="00B73DAE"/>
    <w:rsid w:val="00B75362"/>
    <w:rsid w:val="00B75E49"/>
    <w:rsid w:val="00B80EF2"/>
    <w:rsid w:val="00B81E70"/>
    <w:rsid w:val="00B827B2"/>
    <w:rsid w:val="00B8403C"/>
    <w:rsid w:val="00BA3E8A"/>
    <w:rsid w:val="00BB246F"/>
    <w:rsid w:val="00BB7852"/>
    <w:rsid w:val="00BC2568"/>
    <w:rsid w:val="00BC48EA"/>
    <w:rsid w:val="00BC5562"/>
    <w:rsid w:val="00BD2C62"/>
    <w:rsid w:val="00BD383D"/>
    <w:rsid w:val="00BE0C51"/>
    <w:rsid w:val="00BF2E6F"/>
    <w:rsid w:val="00BF31B6"/>
    <w:rsid w:val="00BF3210"/>
    <w:rsid w:val="00C0083E"/>
    <w:rsid w:val="00C0497F"/>
    <w:rsid w:val="00C04CC0"/>
    <w:rsid w:val="00C20255"/>
    <w:rsid w:val="00C21185"/>
    <w:rsid w:val="00C221D9"/>
    <w:rsid w:val="00C24451"/>
    <w:rsid w:val="00C25D09"/>
    <w:rsid w:val="00C31974"/>
    <w:rsid w:val="00C347B9"/>
    <w:rsid w:val="00C34964"/>
    <w:rsid w:val="00C34966"/>
    <w:rsid w:val="00C3721C"/>
    <w:rsid w:val="00C40128"/>
    <w:rsid w:val="00C40274"/>
    <w:rsid w:val="00C43D6C"/>
    <w:rsid w:val="00C44EFC"/>
    <w:rsid w:val="00C47AD7"/>
    <w:rsid w:val="00C47C6D"/>
    <w:rsid w:val="00C51F6A"/>
    <w:rsid w:val="00C5790F"/>
    <w:rsid w:val="00C611C1"/>
    <w:rsid w:val="00C6297E"/>
    <w:rsid w:val="00C63759"/>
    <w:rsid w:val="00C74171"/>
    <w:rsid w:val="00C74F7A"/>
    <w:rsid w:val="00C773C0"/>
    <w:rsid w:val="00C80E1F"/>
    <w:rsid w:val="00C81BAD"/>
    <w:rsid w:val="00C81C66"/>
    <w:rsid w:val="00C82299"/>
    <w:rsid w:val="00C834B5"/>
    <w:rsid w:val="00C83FB5"/>
    <w:rsid w:val="00C8438A"/>
    <w:rsid w:val="00C85C22"/>
    <w:rsid w:val="00C87F68"/>
    <w:rsid w:val="00C90C23"/>
    <w:rsid w:val="00C916C2"/>
    <w:rsid w:val="00C92A04"/>
    <w:rsid w:val="00C934C9"/>
    <w:rsid w:val="00C945BD"/>
    <w:rsid w:val="00C94814"/>
    <w:rsid w:val="00CA1815"/>
    <w:rsid w:val="00CA28ED"/>
    <w:rsid w:val="00CA33D2"/>
    <w:rsid w:val="00CA3933"/>
    <w:rsid w:val="00CA3D2D"/>
    <w:rsid w:val="00CA53B0"/>
    <w:rsid w:val="00CA5A36"/>
    <w:rsid w:val="00CA730D"/>
    <w:rsid w:val="00CB2690"/>
    <w:rsid w:val="00CB31B3"/>
    <w:rsid w:val="00CB39E8"/>
    <w:rsid w:val="00CB4546"/>
    <w:rsid w:val="00CB4E63"/>
    <w:rsid w:val="00CB5AAC"/>
    <w:rsid w:val="00CB5FEC"/>
    <w:rsid w:val="00CB7491"/>
    <w:rsid w:val="00CC3132"/>
    <w:rsid w:val="00CC4AC2"/>
    <w:rsid w:val="00CC55F0"/>
    <w:rsid w:val="00CC5FF5"/>
    <w:rsid w:val="00CC68AF"/>
    <w:rsid w:val="00CC787B"/>
    <w:rsid w:val="00CD31A4"/>
    <w:rsid w:val="00CD38A3"/>
    <w:rsid w:val="00CD514E"/>
    <w:rsid w:val="00CE0E0D"/>
    <w:rsid w:val="00CE1ADE"/>
    <w:rsid w:val="00CE1FF1"/>
    <w:rsid w:val="00CE344A"/>
    <w:rsid w:val="00CF00A4"/>
    <w:rsid w:val="00CF0A7A"/>
    <w:rsid w:val="00CF0DD4"/>
    <w:rsid w:val="00CF64F4"/>
    <w:rsid w:val="00CF7549"/>
    <w:rsid w:val="00CF76B3"/>
    <w:rsid w:val="00D019F4"/>
    <w:rsid w:val="00D06AFA"/>
    <w:rsid w:val="00D111F5"/>
    <w:rsid w:val="00D12421"/>
    <w:rsid w:val="00D12CC6"/>
    <w:rsid w:val="00D13AD2"/>
    <w:rsid w:val="00D14158"/>
    <w:rsid w:val="00D209E7"/>
    <w:rsid w:val="00D2203D"/>
    <w:rsid w:val="00D27AF0"/>
    <w:rsid w:val="00D37C70"/>
    <w:rsid w:val="00D41F26"/>
    <w:rsid w:val="00D42DB0"/>
    <w:rsid w:val="00D432D2"/>
    <w:rsid w:val="00D45695"/>
    <w:rsid w:val="00D517D2"/>
    <w:rsid w:val="00D522EC"/>
    <w:rsid w:val="00D53699"/>
    <w:rsid w:val="00D54F3A"/>
    <w:rsid w:val="00D54FF9"/>
    <w:rsid w:val="00D560C6"/>
    <w:rsid w:val="00D566DC"/>
    <w:rsid w:val="00D618CB"/>
    <w:rsid w:val="00D629B8"/>
    <w:rsid w:val="00D63C96"/>
    <w:rsid w:val="00D72625"/>
    <w:rsid w:val="00D732E3"/>
    <w:rsid w:val="00D73FE6"/>
    <w:rsid w:val="00D749ED"/>
    <w:rsid w:val="00D74CD8"/>
    <w:rsid w:val="00D77677"/>
    <w:rsid w:val="00D8010E"/>
    <w:rsid w:val="00D80398"/>
    <w:rsid w:val="00D80B4B"/>
    <w:rsid w:val="00D81B5C"/>
    <w:rsid w:val="00D84824"/>
    <w:rsid w:val="00D8518F"/>
    <w:rsid w:val="00D86420"/>
    <w:rsid w:val="00D87D4A"/>
    <w:rsid w:val="00D92EAC"/>
    <w:rsid w:val="00D943B5"/>
    <w:rsid w:val="00D96498"/>
    <w:rsid w:val="00DA02AD"/>
    <w:rsid w:val="00DA3116"/>
    <w:rsid w:val="00DA5CE0"/>
    <w:rsid w:val="00DA6CAE"/>
    <w:rsid w:val="00DA7673"/>
    <w:rsid w:val="00DB6FCC"/>
    <w:rsid w:val="00DB734B"/>
    <w:rsid w:val="00DB7CC2"/>
    <w:rsid w:val="00DC21B9"/>
    <w:rsid w:val="00DC243E"/>
    <w:rsid w:val="00DD0E30"/>
    <w:rsid w:val="00DD50B0"/>
    <w:rsid w:val="00DE1769"/>
    <w:rsid w:val="00DE3CA5"/>
    <w:rsid w:val="00DE4411"/>
    <w:rsid w:val="00DE5159"/>
    <w:rsid w:val="00DE6BB2"/>
    <w:rsid w:val="00DE777A"/>
    <w:rsid w:val="00DF0D7C"/>
    <w:rsid w:val="00DF10D4"/>
    <w:rsid w:val="00DF16BE"/>
    <w:rsid w:val="00DF234F"/>
    <w:rsid w:val="00DF5068"/>
    <w:rsid w:val="00DF56B2"/>
    <w:rsid w:val="00DF66CD"/>
    <w:rsid w:val="00E05277"/>
    <w:rsid w:val="00E06527"/>
    <w:rsid w:val="00E06DC3"/>
    <w:rsid w:val="00E06E36"/>
    <w:rsid w:val="00E13824"/>
    <w:rsid w:val="00E13A42"/>
    <w:rsid w:val="00E13DAB"/>
    <w:rsid w:val="00E150A2"/>
    <w:rsid w:val="00E25A37"/>
    <w:rsid w:val="00E31420"/>
    <w:rsid w:val="00E32EA8"/>
    <w:rsid w:val="00E3324A"/>
    <w:rsid w:val="00E35382"/>
    <w:rsid w:val="00E3705A"/>
    <w:rsid w:val="00E40880"/>
    <w:rsid w:val="00E417CA"/>
    <w:rsid w:val="00E44240"/>
    <w:rsid w:val="00E46B88"/>
    <w:rsid w:val="00E52DB6"/>
    <w:rsid w:val="00E541C0"/>
    <w:rsid w:val="00E545A5"/>
    <w:rsid w:val="00E54E08"/>
    <w:rsid w:val="00E55219"/>
    <w:rsid w:val="00E562EF"/>
    <w:rsid w:val="00E565AB"/>
    <w:rsid w:val="00E60AD1"/>
    <w:rsid w:val="00E62952"/>
    <w:rsid w:val="00E66F08"/>
    <w:rsid w:val="00E66F76"/>
    <w:rsid w:val="00E671D1"/>
    <w:rsid w:val="00E711F1"/>
    <w:rsid w:val="00E73459"/>
    <w:rsid w:val="00E73BA7"/>
    <w:rsid w:val="00E74A9C"/>
    <w:rsid w:val="00E7541C"/>
    <w:rsid w:val="00E75B26"/>
    <w:rsid w:val="00E769D8"/>
    <w:rsid w:val="00E76E13"/>
    <w:rsid w:val="00E80B25"/>
    <w:rsid w:val="00E816D8"/>
    <w:rsid w:val="00E833D4"/>
    <w:rsid w:val="00E90684"/>
    <w:rsid w:val="00E90C43"/>
    <w:rsid w:val="00E93B81"/>
    <w:rsid w:val="00E94868"/>
    <w:rsid w:val="00E9545D"/>
    <w:rsid w:val="00E96622"/>
    <w:rsid w:val="00EA0BAF"/>
    <w:rsid w:val="00EA2FA6"/>
    <w:rsid w:val="00EA3A4D"/>
    <w:rsid w:val="00EA3FEC"/>
    <w:rsid w:val="00EA5BCC"/>
    <w:rsid w:val="00EA5F3F"/>
    <w:rsid w:val="00EB0504"/>
    <w:rsid w:val="00EB246C"/>
    <w:rsid w:val="00EB2BC9"/>
    <w:rsid w:val="00EC05AA"/>
    <w:rsid w:val="00EC2E88"/>
    <w:rsid w:val="00EC4284"/>
    <w:rsid w:val="00EC6E0A"/>
    <w:rsid w:val="00EC7766"/>
    <w:rsid w:val="00EC79B3"/>
    <w:rsid w:val="00ED111D"/>
    <w:rsid w:val="00ED4CCB"/>
    <w:rsid w:val="00ED73AC"/>
    <w:rsid w:val="00EE0445"/>
    <w:rsid w:val="00EE1F3B"/>
    <w:rsid w:val="00EE2357"/>
    <w:rsid w:val="00EE2FBA"/>
    <w:rsid w:val="00EE47A6"/>
    <w:rsid w:val="00EE6401"/>
    <w:rsid w:val="00EF3269"/>
    <w:rsid w:val="00EF3524"/>
    <w:rsid w:val="00EF3A08"/>
    <w:rsid w:val="00EF446C"/>
    <w:rsid w:val="00EF520F"/>
    <w:rsid w:val="00EF6CFD"/>
    <w:rsid w:val="00EF77F7"/>
    <w:rsid w:val="00F002FD"/>
    <w:rsid w:val="00F02367"/>
    <w:rsid w:val="00F02516"/>
    <w:rsid w:val="00F029AF"/>
    <w:rsid w:val="00F12215"/>
    <w:rsid w:val="00F130CE"/>
    <w:rsid w:val="00F16438"/>
    <w:rsid w:val="00F16918"/>
    <w:rsid w:val="00F20A2B"/>
    <w:rsid w:val="00F23822"/>
    <w:rsid w:val="00F23BF9"/>
    <w:rsid w:val="00F24D4C"/>
    <w:rsid w:val="00F31DC3"/>
    <w:rsid w:val="00F33620"/>
    <w:rsid w:val="00F33FE1"/>
    <w:rsid w:val="00F34324"/>
    <w:rsid w:val="00F35D44"/>
    <w:rsid w:val="00F44104"/>
    <w:rsid w:val="00F47F57"/>
    <w:rsid w:val="00F524F6"/>
    <w:rsid w:val="00F526E7"/>
    <w:rsid w:val="00F52768"/>
    <w:rsid w:val="00F53C67"/>
    <w:rsid w:val="00F53E2F"/>
    <w:rsid w:val="00F54305"/>
    <w:rsid w:val="00F559BE"/>
    <w:rsid w:val="00F57569"/>
    <w:rsid w:val="00F60AE6"/>
    <w:rsid w:val="00F60FD7"/>
    <w:rsid w:val="00F621DF"/>
    <w:rsid w:val="00F6688D"/>
    <w:rsid w:val="00F67B26"/>
    <w:rsid w:val="00F70275"/>
    <w:rsid w:val="00F70EF7"/>
    <w:rsid w:val="00F718C1"/>
    <w:rsid w:val="00F71B10"/>
    <w:rsid w:val="00F71D63"/>
    <w:rsid w:val="00F756FB"/>
    <w:rsid w:val="00F82BB2"/>
    <w:rsid w:val="00F84333"/>
    <w:rsid w:val="00F864B1"/>
    <w:rsid w:val="00F9133C"/>
    <w:rsid w:val="00F92E60"/>
    <w:rsid w:val="00F94C36"/>
    <w:rsid w:val="00F95973"/>
    <w:rsid w:val="00F97065"/>
    <w:rsid w:val="00FA1C28"/>
    <w:rsid w:val="00FA4D28"/>
    <w:rsid w:val="00FA4E13"/>
    <w:rsid w:val="00FA7534"/>
    <w:rsid w:val="00FA7582"/>
    <w:rsid w:val="00FB03F3"/>
    <w:rsid w:val="00FB2D75"/>
    <w:rsid w:val="00FB50E4"/>
    <w:rsid w:val="00FC16BC"/>
    <w:rsid w:val="00FC1E69"/>
    <w:rsid w:val="00FC2E5C"/>
    <w:rsid w:val="00FC5524"/>
    <w:rsid w:val="00FC7414"/>
    <w:rsid w:val="00FC756E"/>
    <w:rsid w:val="00FD0BD9"/>
    <w:rsid w:val="00FD10FF"/>
    <w:rsid w:val="00FD12DC"/>
    <w:rsid w:val="00FD6DC0"/>
    <w:rsid w:val="00FD798A"/>
    <w:rsid w:val="00FE3077"/>
    <w:rsid w:val="00FE4A04"/>
    <w:rsid w:val="00FE5EDE"/>
    <w:rsid w:val="00FE6403"/>
    <w:rsid w:val="00FE64B6"/>
    <w:rsid w:val="00FF1C44"/>
    <w:rsid w:val="00FF6673"/>
    <w:rsid w:val="00FF6F7D"/>
    <w:rsid w:val="00FF70C5"/>
    <w:rsid w:val="00FF73B2"/>
    <w:rsid w:val="012167BB"/>
    <w:rsid w:val="01317F69"/>
    <w:rsid w:val="0153743B"/>
    <w:rsid w:val="015B3238"/>
    <w:rsid w:val="017D33A5"/>
    <w:rsid w:val="01950A28"/>
    <w:rsid w:val="01A220F5"/>
    <w:rsid w:val="01A43312"/>
    <w:rsid w:val="01CB0AEE"/>
    <w:rsid w:val="02125B9D"/>
    <w:rsid w:val="02282DFC"/>
    <w:rsid w:val="0250292C"/>
    <w:rsid w:val="02F96952"/>
    <w:rsid w:val="0352040B"/>
    <w:rsid w:val="03535D03"/>
    <w:rsid w:val="037A7BE8"/>
    <w:rsid w:val="03914CEF"/>
    <w:rsid w:val="03964720"/>
    <w:rsid w:val="0397552A"/>
    <w:rsid w:val="03AF43C1"/>
    <w:rsid w:val="03B94210"/>
    <w:rsid w:val="03BC36EC"/>
    <w:rsid w:val="043B55DF"/>
    <w:rsid w:val="046006A8"/>
    <w:rsid w:val="04765B63"/>
    <w:rsid w:val="04C542B0"/>
    <w:rsid w:val="04E61BBB"/>
    <w:rsid w:val="04F57FC3"/>
    <w:rsid w:val="05253B9D"/>
    <w:rsid w:val="056F18F6"/>
    <w:rsid w:val="057A404A"/>
    <w:rsid w:val="05B50B3D"/>
    <w:rsid w:val="05B96B76"/>
    <w:rsid w:val="05CE125F"/>
    <w:rsid w:val="0660581C"/>
    <w:rsid w:val="06F10FBF"/>
    <w:rsid w:val="074A7E80"/>
    <w:rsid w:val="077D638B"/>
    <w:rsid w:val="077D767F"/>
    <w:rsid w:val="077E47A3"/>
    <w:rsid w:val="078D0E09"/>
    <w:rsid w:val="07936CCE"/>
    <w:rsid w:val="07DE7C1F"/>
    <w:rsid w:val="08007C2D"/>
    <w:rsid w:val="081866AA"/>
    <w:rsid w:val="081F4846"/>
    <w:rsid w:val="085203DD"/>
    <w:rsid w:val="08DE7BAB"/>
    <w:rsid w:val="08E90823"/>
    <w:rsid w:val="08EF3AC0"/>
    <w:rsid w:val="0901547B"/>
    <w:rsid w:val="09077801"/>
    <w:rsid w:val="09143DF5"/>
    <w:rsid w:val="091468EE"/>
    <w:rsid w:val="09343CE7"/>
    <w:rsid w:val="093E092E"/>
    <w:rsid w:val="09400B73"/>
    <w:rsid w:val="0942340D"/>
    <w:rsid w:val="09524102"/>
    <w:rsid w:val="09A72D53"/>
    <w:rsid w:val="09BC3E77"/>
    <w:rsid w:val="09C123E0"/>
    <w:rsid w:val="09CE693B"/>
    <w:rsid w:val="0A1134D5"/>
    <w:rsid w:val="0A480E6D"/>
    <w:rsid w:val="0AA852D3"/>
    <w:rsid w:val="0AAD198F"/>
    <w:rsid w:val="0ACD5980"/>
    <w:rsid w:val="0AE8603C"/>
    <w:rsid w:val="0B08578F"/>
    <w:rsid w:val="0B2A38CC"/>
    <w:rsid w:val="0B3D11D7"/>
    <w:rsid w:val="0B4D7E24"/>
    <w:rsid w:val="0BAE0408"/>
    <w:rsid w:val="0BC8121F"/>
    <w:rsid w:val="0BCC77D1"/>
    <w:rsid w:val="0BF407AE"/>
    <w:rsid w:val="0C1D5752"/>
    <w:rsid w:val="0C2A79A7"/>
    <w:rsid w:val="0D0F09F4"/>
    <w:rsid w:val="0D5A6EC6"/>
    <w:rsid w:val="0D681D5A"/>
    <w:rsid w:val="0D7017CB"/>
    <w:rsid w:val="0D9D2541"/>
    <w:rsid w:val="0DA91684"/>
    <w:rsid w:val="0DDF11B0"/>
    <w:rsid w:val="0DE400D0"/>
    <w:rsid w:val="0E6F1701"/>
    <w:rsid w:val="0EC14FC9"/>
    <w:rsid w:val="0F140641"/>
    <w:rsid w:val="0F1B29FC"/>
    <w:rsid w:val="0F2A6DD4"/>
    <w:rsid w:val="0F3C7742"/>
    <w:rsid w:val="0F59694D"/>
    <w:rsid w:val="0F6D6058"/>
    <w:rsid w:val="0F702C97"/>
    <w:rsid w:val="0F706100"/>
    <w:rsid w:val="0F7F041C"/>
    <w:rsid w:val="0FD0297E"/>
    <w:rsid w:val="0FDC19E8"/>
    <w:rsid w:val="102C42B5"/>
    <w:rsid w:val="10884168"/>
    <w:rsid w:val="10B27A75"/>
    <w:rsid w:val="10C6322B"/>
    <w:rsid w:val="10E968F4"/>
    <w:rsid w:val="11112EE2"/>
    <w:rsid w:val="112B22AE"/>
    <w:rsid w:val="11696065"/>
    <w:rsid w:val="11BF5172"/>
    <w:rsid w:val="12287D54"/>
    <w:rsid w:val="12341D23"/>
    <w:rsid w:val="124757BD"/>
    <w:rsid w:val="125353DE"/>
    <w:rsid w:val="12596E93"/>
    <w:rsid w:val="126B4D48"/>
    <w:rsid w:val="12970412"/>
    <w:rsid w:val="12B030F9"/>
    <w:rsid w:val="12C0506D"/>
    <w:rsid w:val="135D26C4"/>
    <w:rsid w:val="14313199"/>
    <w:rsid w:val="144E0F32"/>
    <w:rsid w:val="157822BD"/>
    <w:rsid w:val="15802266"/>
    <w:rsid w:val="158A686E"/>
    <w:rsid w:val="15E06926"/>
    <w:rsid w:val="15E44ED5"/>
    <w:rsid w:val="16206B0B"/>
    <w:rsid w:val="162E776E"/>
    <w:rsid w:val="166E0204"/>
    <w:rsid w:val="16946F05"/>
    <w:rsid w:val="172442A9"/>
    <w:rsid w:val="172A3039"/>
    <w:rsid w:val="172E4BA7"/>
    <w:rsid w:val="173C1DEF"/>
    <w:rsid w:val="17410644"/>
    <w:rsid w:val="17B6552D"/>
    <w:rsid w:val="18076513"/>
    <w:rsid w:val="182D39B3"/>
    <w:rsid w:val="182E6BE8"/>
    <w:rsid w:val="18367272"/>
    <w:rsid w:val="18C61E40"/>
    <w:rsid w:val="194F7DB9"/>
    <w:rsid w:val="198538BE"/>
    <w:rsid w:val="19BD3F6F"/>
    <w:rsid w:val="19D356F8"/>
    <w:rsid w:val="1A055946"/>
    <w:rsid w:val="1A9B5D2D"/>
    <w:rsid w:val="1AC71ABE"/>
    <w:rsid w:val="1AF2423E"/>
    <w:rsid w:val="1B1156DA"/>
    <w:rsid w:val="1B202736"/>
    <w:rsid w:val="1B295052"/>
    <w:rsid w:val="1B2B5799"/>
    <w:rsid w:val="1B4A0390"/>
    <w:rsid w:val="1B860673"/>
    <w:rsid w:val="1BC479D9"/>
    <w:rsid w:val="1C1246E1"/>
    <w:rsid w:val="1C29242D"/>
    <w:rsid w:val="1C322108"/>
    <w:rsid w:val="1C3A67F0"/>
    <w:rsid w:val="1C836B94"/>
    <w:rsid w:val="1C93797E"/>
    <w:rsid w:val="1CBC0B26"/>
    <w:rsid w:val="1CF609C8"/>
    <w:rsid w:val="1D2041D2"/>
    <w:rsid w:val="1D6D1FC7"/>
    <w:rsid w:val="1D6F190E"/>
    <w:rsid w:val="1D8A2A83"/>
    <w:rsid w:val="1DAE2687"/>
    <w:rsid w:val="1DB238A7"/>
    <w:rsid w:val="1E3C73D2"/>
    <w:rsid w:val="1E504991"/>
    <w:rsid w:val="1E86310C"/>
    <w:rsid w:val="1E9A0F97"/>
    <w:rsid w:val="1F431D10"/>
    <w:rsid w:val="1F4D2B9B"/>
    <w:rsid w:val="200021A3"/>
    <w:rsid w:val="20241ECF"/>
    <w:rsid w:val="207A5DB5"/>
    <w:rsid w:val="20A430CB"/>
    <w:rsid w:val="20AD3478"/>
    <w:rsid w:val="20B27D13"/>
    <w:rsid w:val="210A061F"/>
    <w:rsid w:val="2147312D"/>
    <w:rsid w:val="215D1CE0"/>
    <w:rsid w:val="21B94C8F"/>
    <w:rsid w:val="21C94B24"/>
    <w:rsid w:val="22163CB9"/>
    <w:rsid w:val="222423AB"/>
    <w:rsid w:val="22370CEE"/>
    <w:rsid w:val="2276439D"/>
    <w:rsid w:val="22AE152D"/>
    <w:rsid w:val="22D472EA"/>
    <w:rsid w:val="230F374E"/>
    <w:rsid w:val="23833A77"/>
    <w:rsid w:val="23DF45BC"/>
    <w:rsid w:val="2413405F"/>
    <w:rsid w:val="24152D0E"/>
    <w:rsid w:val="242240EE"/>
    <w:rsid w:val="244871F4"/>
    <w:rsid w:val="246B3966"/>
    <w:rsid w:val="24704055"/>
    <w:rsid w:val="2567137C"/>
    <w:rsid w:val="25A33403"/>
    <w:rsid w:val="25A826FB"/>
    <w:rsid w:val="26730690"/>
    <w:rsid w:val="26926505"/>
    <w:rsid w:val="26964205"/>
    <w:rsid w:val="269D1D85"/>
    <w:rsid w:val="26DD0F2F"/>
    <w:rsid w:val="270039DD"/>
    <w:rsid w:val="27065B8E"/>
    <w:rsid w:val="27133A65"/>
    <w:rsid w:val="274C2AA0"/>
    <w:rsid w:val="27555644"/>
    <w:rsid w:val="27832CA4"/>
    <w:rsid w:val="278B08B5"/>
    <w:rsid w:val="27A961FC"/>
    <w:rsid w:val="27E90BA5"/>
    <w:rsid w:val="28067D58"/>
    <w:rsid w:val="280977C9"/>
    <w:rsid w:val="28310568"/>
    <w:rsid w:val="285B7CCF"/>
    <w:rsid w:val="28725EEC"/>
    <w:rsid w:val="288F1DB4"/>
    <w:rsid w:val="289C6F11"/>
    <w:rsid w:val="28FD66B7"/>
    <w:rsid w:val="2903128D"/>
    <w:rsid w:val="29066CC9"/>
    <w:rsid w:val="29130DAA"/>
    <w:rsid w:val="2942544A"/>
    <w:rsid w:val="295971AE"/>
    <w:rsid w:val="298B16DC"/>
    <w:rsid w:val="29AE402B"/>
    <w:rsid w:val="29C04D65"/>
    <w:rsid w:val="29D55239"/>
    <w:rsid w:val="29DD12E8"/>
    <w:rsid w:val="2A892ACE"/>
    <w:rsid w:val="2B3E29B0"/>
    <w:rsid w:val="2B7163D8"/>
    <w:rsid w:val="2B9C6471"/>
    <w:rsid w:val="2BA936AC"/>
    <w:rsid w:val="2BB72B56"/>
    <w:rsid w:val="2C025E47"/>
    <w:rsid w:val="2C0E776B"/>
    <w:rsid w:val="2C234D92"/>
    <w:rsid w:val="2C2C6DE7"/>
    <w:rsid w:val="2C735353"/>
    <w:rsid w:val="2CE7345E"/>
    <w:rsid w:val="2CEC352F"/>
    <w:rsid w:val="2D2C48E3"/>
    <w:rsid w:val="2D3736FF"/>
    <w:rsid w:val="2E222B09"/>
    <w:rsid w:val="2E3800BB"/>
    <w:rsid w:val="2E795270"/>
    <w:rsid w:val="2E8B665B"/>
    <w:rsid w:val="2EBB595A"/>
    <w:rsid w:val="2F0629E7"/>
    <w:rsid w:val="2F0802D5"/>
    <w:rsid w:val="2F4521E4"/>
    <w:rsid w:val="2F4836D5"/>
    <w:rsid w:val="2F7616CB"/>
    <w:rsid w:val="2F7758D1"/>
    <w:rsid w:val="30171FC6"/>
    <w:rsid w:val="30704527"/>
    <w:rsid w:val="30897C69"/>
    <w:rsid w:val="308D61DE"/>
    <w:rsid w:val="30A7349A"/>
    <w:rsid w:val="30BA6B6D"/>
    <w:rsid w:val="30C90B47"/>
    <w:rsid w:val="313D79CC"/>
    <w:rsid w:val="316354A7"/>
    <w:rsid w:val="317646E3"/>
    <w:rsid w:val="31875383"/>
    <w:rsid w:val="31943AA9"/>
    <w:rsid w:val="319F4123"/>
    <w:rsid w:val="322B4E1D"/>
    <w:rsid w:val="32467A4F"/>
    <w:rsid w:val="325D28CB"/>
    <w:rsid w:val="326269F8"/>
    <w:rsid w:val="3276462D"/>
    <w:rsid w:val="32C50828"/>
    <w:rsid w:val="33061F9B"/>
    <w:rsid w:val="336E20D0"/>
    <w:rsid w:val="3399272C"/>
    <w:rsid w:val="33D01A66"/>
    <w:rsid w:val="34951981"/>
    <w:rsid w:val="349E58B2"/>
    <w:rsid w:val="34F03153"/>
    <w:rsid w:val="34FB0E1E"/>
    <w:rsid w:val="35522773"/>
    <w:rsid w:val="35571FC4"/>
    <w:rsid w:val="357355F5"/>
    <w:rsid w:val="35C67DD5"/>
    <w:rsid w:val="35D958A1"/>
    <w:rsid w:val="36040C7F"/>
    <w:rsid w:val="36493A32"/>
    <w:rsid w:val="369B232D"/>
    <w:rsid w:val="36A0670F"/>
    <w:rsid w:val="36BF46BD"/>
    <w:rsid w:val="372A6239"/>
    <w:rsid w:val="377C1237"/>
    <w:rsid w:val="37CC7088"/>
    <w:rsid w:val="37FD48A3"/>
    <w:rsid w:val="386A693F"/>
    <w:rsid w:val="38BE7F4F"/>
    <w:rsid w:val="38E05F94"/>
    <w:rsid w:val="38F87BCE"/>
    <w:rsid w:val="38FE4D4C"/>
    <w:rsid w:val="394B09FC"/>
    <w:rsid w:val="39EB6E3D"/>
    <w:rsid w:val="3A02218E"/>
    <w:rsid w:val="3A0F2768"/>
    <w:rsid w:val="3A16029D"/>
    <w:rsid w:val="3A676E8E"/>
    <w:rsid w:val="3B8B7825"/>
    <w:rsid w:val="3BCD29AB"/>
    <w:rsid w:val="3C0035D5"/>
    <w:rsid w:val="3C1D71BD"/>
    <w:rsid w:val="3C565EBA"/>
    <w:rsid w:val="3C6275A7"/>
    <w:rsid w:val="3C6802C6"/>
    <w:rsid w:val="3CA32A7A"/>
    <w:rsid w:val="3CA63EB8"/>
    <w:rsid w:val="3CBA2E4C"/>
    <w:rsid w:val="3CC27718"/>
    <w:rsid w:val="3D2F358F"/>
    <w:rsid w:val="3D320B05"/>
    <w:rsid w:val="3D565A5B"/>
    <w:rsid w:val="3D6A1C55"/>
    <w:rsid w:val="3D6A4A97"/>
    <w:rsid w:val="3D9077EA"/>
    <w:rsid w:val="3D97381F"/>
    <w:rsid w:val="3DA4532D"/>
    <w:rsid w:val="3DE70627"/>
    <w:rsid w:val="3DE926DB"/>
    <w:rsid w:val="3E8F3608"/>
    <w:rsid w:val="3ED12450"/>
    <w:rsid w:val="3EE33949"/>
    <w:rsid w:val="3F3A5E84"/>
    <w:rsid w:val="3F563C1C"/>
    <w:rsid w:val="400C1DDF"/>
    <w:rsid w:val="401502E1"/>
    <w:rsid w:val="40180448"/>
    <w:rsid w:val="403204FF"/>
    <w:rsid w:val="404F5DEF"/>
    <w:rsid w:val="40555EC4"/>
    <w:rsid w:val="40630BDF"/>
    <w:rsid w:val="40C61D35"/>
    <w:rsid w:val="40EC7837"/>
    <w:rsid w:val="411B5BD4"/>
    <w:rsid w:val="41223902"/>
    <w:rsid w:val="415D27C1"/>
    <w:rsid w:val="41631416"/>
    <w:rsid w:val="418222AA"/>
    <w:rsid w:val="418A0634"/>
    <w:rsid w:val="418A3504"/>
    <w:rsid w:val="41B312B7"/>
    <w:rsid w:val="423E425A"/>
    <w:rsid w:val="424654AE"/>
    <w:rsid w:val="42D10FC8"/>
    <w:rsid w:val="42D81E70"/>
    <w:rsid w:val="42DB7EE8"/>
    <w:rsid w:val="42E47C90"/>
    <w:rsid w:val="42EE4D02"/>
    <w:rsid w:val="42FE42DB"/>
    <w:rsid w:val="43097D92"/>
    <w:rsid w:val="43CD04BE"/>
    <w:rsid w:val="43F02C77"/>
    <w:rsid w:val="43FA25ED"/>
    <w:rsid w:val="4416242A"/>
    <w:rsid w:val="44181CA3"/>
    <w:rsid w:val="44312F45"/>
    <w:rsid w:val="4437202E"/>
    <w:rsid w:val="446535BC"/>
    <w:rsid w:val="44B20049"/>
    <w:rsid w:val="44B2546D"/>
    <w:rsid w:val="44BD4C3D"/>
    <w:rsid w:val="44CC277A"/>
    <w:rsid w:val="44E93C84"/>
    <w:rsid w:val="44EE2D36"/>
    <w:rsid w:val="45223285"/>
    <w:rsid w:val="4593343A"/>
    <w:rsid w:val="459423A1"/>
    <w:rsid w:val="45C03DA1"/>
    <w:rsid w:val="45E35D9F"/>
    <w:rsid w:val="45EA09C7"/>
    <w:rsid w:val="46012F51"/>
    <w:rsid w:val="461B707B"/>
    <w:rsid w:val="46244A15"/>
    <w:rsid w:val="462A65A3"/>
    <w:rsid w:val="46407576"/>
    <w:rsid w:val="469E5782"/>
    <w:rsid w:val="46A50C52"/>
    <w:rsid w:val="46DD5122"/>
    <w:rsid w:val="471D27F0"/>
    <w:rsid w:val="474B7376"/>
    <w:rsid w:val="475F6DAE"/>
    <w:rsid w:val="47681B16"/>
    <w:rsid w:val="47D51F21"/>
    <w:rsid w:val="47E07E59"/>
    <w:rsid w:val="47EE6E7F"/>
    <w:rsid w:val="48575C73"/>
    <w:rsid w:val="487E3AEE"/>
    <w:rsid w:val="48A3786A"/>
    <w:rsid w:val="48E6718E"/>
    <w:rsid w:val="49101D8B"/>
    <w:rsid w:val="49366914"/>
    <w:rsid w:val="493C021F"/>
    <w:rsid w:val="49506CDC"/>
    <w:rsid w:val="49655E36"/>
    <w:rsid w:val="4980703B"/>
    <w:rsid w:val="4A6A63DE"/>
    <w:rsid w:val="4A85534E"/>
    <w:rsid w:val="4A9B332A"/>
    <w:rsid w:val="4AB111FE"/>
    <w:rsid w:val="4B906A1A"/>
    <w:rsid w:val="4BB05966"/>
    <w:rsid w:val="4BB36432"/>
    <w:rsid w:val="4C900D47"/>
    <w:rsid w:val="4CA5140A"/>
    <w:rsid w:val="4CEC60BF"/>
    <w:rsid w:val="4D006B82"/>
    <w:rsid w:val="4D1D0A48"/>
    <w:rsid w:val="4D2109FF"/>
    <w:rsid w:val="4D351CB8"/>
    <w:rsid w:val="4D48229B"/>
    <w:rsid w:val="4D5974F8"/>
    <w:rsid w:val="4D840BAC"/>
    <w:rsid w:val="4DB90E6F"/>
    <w:rsid w:val="4DCE1C69"/>
    <w:rsid w:val="4DD10C8C"/>
    <w:rsid w:val="4E081029"/>
    <w:rsid w:val="4E9A4322"/>
    <w:rsid w:val="4EB946C7"/>
    <w:rsid w:val="4ECC264C"/>
    <w:rsid w:val="4EE2394B"/>
    <w:rsid w:val="4EEA1F8F"/>
    <w:rsid w:val="4F00148F"/>
    <w:rsid w:val="4F4744B2"/>
    <w:rsid w:val="4F5930F6"/>
    <w:rsid w:val="4F8D346A"/>
    <w:rsid w:val="4FC80C87"/>
    <w:rsid w:val="500234F4"/>
    <w:rsid w:val="50324731"/>
    <w:rsid w:val="50740DF6"/>
    <w:rsid w:val="50B92582"/>
    <w:rsid w:val="50D15B8B"/>
    <w:rsid w:val="51040BC6"/>
    <w:rsid w:val="511C724F"/>
    <w:rsid w:val="51422996"/>
    <w:rsid w:val="51685457"/>
    <w:rsid w:val="51770F53"/>
    <w:rsid w:val="51DD71EF"/>
    <w:rsid w:val="5266606B"/>
    <w:rsid w:val="52F97875"/>
    <w:rsid w:val="530A3B82"/>
    <w:rsid w:val="530F2934"/>
    <w:rsid w:val="5359297A"/>
    <w:rsid w:val="53B5647C"/>
    <w:rsid w:val="53C355FC"/>
    <w:rsid w:val="546A7EA8"/>
    <w:rsid w:val="54807D27"/>
    <w:rsid w:val="549820D4"/>
    <w:rsid w:val="54E90CC9"/>
    <w:rsid w:val="54FE4BE1"/>
    <w:rsid w:val="5509545D"/>
    <w:rsid w:val="553D568F"/>
    <w:rsid w:val="55444AB3"/>
    <w:rsid w:val="55917280"/>
    <w:rsid w:val="55D25536"/>
    <w:rsid w:val="561029E1"/>
    <w:rsid w:val="56157244"/>
    <w:rsid w:val="56C64B51"/>
    <w:rsid w:val="56F931DB"/>
    <w:rsid w:val="57432B6D"/>
    <w:rsid w:val="57500BF8"/>
    <w:rsid w:val="57593099"/>
    <w:rsid w:val="575A4AD4"/>
    <w:rsid w:val="57D26844"/>
    <w:rsid w:val="57E17BBD"/>
    <w:rsid w:val="580932B3"/>
    <w:rsid w:val="581E2746"/>
    <w:rsid w:val="5829466B"/>
    <w:rsid w:val="58311311"/>
    <w:rsid w:val="5883015F"/>
    <w:rsid w:val="58A27DE8"/>
    <w:rsid w:val="58CD2DA6"/>
    <w:rsid w:val="58E662AE"/>
    <w:rsid w:val="59704E14"/>
    <w:rsid w:val="597C6DCF"/>
    <w:rsid w:val="59E85669"/>
    <w:rsid w:val="5A507883"/>
    <w:rsid w:val="5A704AD4"/>
    <w:rsid w:val="5A716993"/>
    <w:rsid w:val="5A7351A8"/>
    <w:rsid w:val="5A981461"/>
    <w:rsid w:val="5B190DA3"/>
    <w:rsid w:val="5B277296"/>
    <w:rsid w:val="5B673332"/>
    <w:rsid w:val="5B7A59FA"/>
    <w:rsid w:val="5B9C3E38"/>
    <w:rsid w:val="5BB0024F"/>
    <w:rsid w:val="5BE72194"/>
    <w:rsid w:val="5C166CB5"/>
    <w:rsid w:val="5C586C08"/>
    <w:rsid w:val="5C7B4434"/>
    <w:rsid w:val="5C937CF4"/>
    <w:rsid w:val="5D081262"/>
    <w:rsid w:val="5D293018"/>
    <w:rsid w:val="5D9A3907"/>
    <w:rsid w:val="5DE11015"/>
    <w:rsid w:val="5DFA2FB9"/>
    <w:rsid w:val="5E175CA6"/>
    <w:rsid w:val="5E330A5A"/>
    <w:rsid w:val="5E473A9D"/>
    <w:rsid w:val="5E8D4681"/>
    <w:rsid w:val="5E9C133D"/>
    <w:rsid w:val="5ED20630"/>
    <w:rsid w:val="5EE60058"/>
    <w:rsid w:val="5EEE1E6A"/>
    <w:rsid w:val="5EF97305"/>
    <w:rsid w:val="5F107D50"/>
    <w:rsid w:val="5F535B62"/>
    <w:rsid w:val="5F54383A"/>
    <w:rsid w:val="5F59454E"/>
    <w:rsid w:val="5F8B45CF"/>
    <w:rsid w:val="601F0FBA"/>
    <w:rsid w:val="60413590"/>
    <w:rsid w:val="60433FF6"/>
    <w:rsid w:val="604E7CF5"/>
    <w:rsid w:val="60621737"/>
    <w:rsid w:val="60927DAA"/>
    <w:rsid w:val="609E51AE"/>
    <w:rsid w:val="60C652EE"/>
    <w:rsid w:val="60E37D2E"/>
    <w:rsid w:val="61124B50"/>
    <w:rsid w:val="61505936"/>
    <w:rsid w:val="61E27486"/>
    <w:rsid w:val="61E30799"/>
    <w:rsid w:val="62621ECA"/>
    <w:rsid w:val="62AD66F3"/>
    <w:rsid w:val="630D45E4"/>
    <w:rsid w:val="63183BC0"/>
    <w:rsid w:val="63226E9C"/>
    <w:rsid w:val="63343A17"/>
    <w:rsid w:val="636442B8"/>
    <w:rsid w:val="637C3300"/>
    <w:rsid w:val="63816126"/>
    <w:rsid w:val="63A77948"/>
    <w:rsid w:val="63DA54F3"/>
    <w:rsid w:val="63DF215D"/>
    <w:rsid w:val="63FF34D3"/>
    <w:rsid w:val="641C4944"/>
    <w:rsid w:val="647932E6"/>
    <w:rsid w:val="649069ED"/>
    <w:rsid w:val="650F435A"/>
    <w:rsid w:val="6540674F"/>
    <w:rsid w:val="655C59D4"/>
    <w:rsid w:val="657A74A9"/>
    <w:rsid w:val="65943300"/>
    <w:rsid w:val="65E3285A"/>
    <w:rsid w:val="66205579"/>
    <w:rsid w:val="665924FF"/>
    <w:rsid w:val="66613222"/>
    <w:rsid w:val="6682084F"/>
    <w:rsid w:val="66B71485"/>
    <w:rsid w:val="67591631"/>
    <w:rsid w:val="675F6683"/>
    <w:rsid w:val="67680BA1"/>
    <w:rsid w:val="677550FA"/>
    <w:rsid w:val="67C24C5D"/>
    <w:rsid w:val="682C608B"/>
    <w:rsid w:val="68621178"/>
    <w:rsid w:val="68756A4D"/>
    <w:rsid w:val="68A326EA"/>
    <w:rsid w:val="68AF67AF"/>
    <w:rsid w:val="68F15BF3"/>
    <w:rsid w:val="6917358A"/>
    <w:rsid w:val="69205616"/>
    <w:rsid w:val="69296634"/>
    <w:rsid w:val="693C5D61"/>
    <w:rsid w:val="69A47FC3"/>
    <w:rsid w:val="6A053A27"/>
    <w:rsid w:val="6A4B1C52"/>
    <w:rsid w:val="6A4C6F65"/>
    <w:rsid w:val="6A516E96"/>
    <w:rsid w:val="6A5C504F"/>
    <w:rsid w:val="6AA212E0"/>
    <w:rsid w:val="6AD3375C"/>
    <w:rsid w:val="6AF418C4"/>
    <w:rsid w:val="6B2F25D6"/>
    <w:rsid w:val="6B7C05C9"/>
    <w:rsid w:val="6BC1333C"/>
    <w:rsid w:val="6BE472C6"/>
    <w:rsid w:val="6BFA4E5B"/>
    <w:rsid w:val="6C1F7F2A"/>
    <w:rsid w:val="6C69163F"/>
    <w:rsid w:val="6C921837"/>
    <w:rsid w:val="6C93094D"/>
    <w:rsid w:val="6CB02E63"/>
    <w:rsid w:val="6CB4282E"/>
    <w:rsid w:val="6D360CE0"/>
    <w:rsid w:val="6D475FFB"/>
    <w:rsid w:val="6D667A58"/>
    <w:rsid w:val="6D8B4EB6"/>
    <w:rsid w:val="6E0C43BB"/>
    <w:rsid w:val="6E375C10"/>
    <w:rsid w:val="6E775836"/>
    <w:rsid w:val="6E9B3740"/>
    <w:rsid w:val="6EBB6E32"/>
    <w:rsid w:val="6EBF4990"/>
    <w:rsid w:val="6EE12351"/>
    <w:rsid w:val="6F0344E2"/>
    <w:rsid w:val="6F1940E9"/>
    <w:rsid w:val="6F266F37"/>
    <w:rsid w:val="6F3F10C5"/>
    <w:rsid w:val="6F440FF3"/>
    <w:rsid w:val="6F483E63"/>
    <w:rsid w:val="6F521098"/>
    <w:rsid w:val="6F921E00"/>
    <w:rsid w:val="6FB24AEE"/>
    <w:rsid w:val="70262E3B"/>
    <w:rsid w:val="7033202F"/>
    <w:rsid w:val="703B7B35"/>
    <w:rsid w:val="70596708"/>
    <w:rsid w:val="70913A26"/>
    <w:rsid w:val="70B62B2A"/>
    <w:rsid w:val="70C51DDB"/>
    <w:rsid w:val="70EC1BDD"/>
    <w:rsid w:val="710F185B"/>
    <w:rsid w:val="7139403B"/>
    <w:rsid w:val="71AF1356"/>
    <w:rsid w:val="71BA1BEB"/>
    <w:rsid w:val="7212443A"/>
    <w:rsid w:val="72132FA2"/>
    <w:rsid w:val="721E1092"/>
    <w:rsid w:val="723325CD"/>
    <w:rsid w:val="72574A0C"/>
    <w:rsid w:val="726A345E"/>
    <w:rsid w:val="72D54D7C"/>
    <w:rsid w:val="72E616BE"/>
    <w:rsid w:val="7308480B"/>
    <w:rsid w:val="73366CF5"/>
    <w:rsid w:val="73413B7D"/>
    <w:rsid w:val="73953431"/>
    <w:rsid w:val="739656FC"/>
    <w:rsid w:val="73C64081"/>
    <w:rsid w:val="73E3491D"/>
    <w:rsid w:val="73F76636"/>
    <w:rsid w:val="74382553"/>
    <w:rsid w:val="748E32FA"/>
    <w:rsid w:val="74916C33"/>
    <w:rsid w:val="75006564"/>
    <w:rsid w:val="75243D99"/>
    <w:rsid w:val="7577538A"/>
    <w:rsid w:val="75860015"/>
    <w:rsid w:val="759C667B"/>
    <w:rsid w:val="76287404"/>
    <w:rsid w:val="76315536"/>
    <w:rsid w:val="7651344F"/>
    <w:rsid w:val="76CC46DF"/>
    <w:rsid w:val="76F1741F"/>
    <w:rsid w:val="777E0FF0"/>
    <w:rsid w:val="77B04009"/>
    <w:rsid w:val="77B34D0C"/>
    <w:rsid w:val="77B76B95"/>
    <w:rsid w:val="77B93D90"/>
    <w:rsid w:val="77BD1911"/>
    <w:rsid w:val="77D661F4"/>
    <w:rsid w:val="783B199E"/>
    <w:rsid w:val="78403444"/>
    <w:rsid w:val="7852676F"/>
    <w:rsid w:val="786C5B43"/>
    <w:rsid w:val="78B94D42"/>
    <w:rsid w:val="78E03286"/>
    <w:rsid w:val="78FE4311"/>
    <w:rsid w:val="79807EB5"/>
    <w:rsid w:val="79AE76EE"/>
    <w:rsid w:val="79BC7668"/>
    <w:rsid w:val="79C23A05"/>
    <w:rsid w:val="79CC52B8"/>
    <w:rsid w:val="79F6038D"/>
    <w:rsid w:val="7A0466BF"/>
    <w:rsid w:val="7A4C6CE0"/>
    <w:rsid w:val="7A6033CE"/>
    <w:rsid w:val="7AD7423F"/>
    <w:rsid w:val="7AF56815"/>
    <w:rsid w:val="7AF666C7"/>
    <w:rsid w:val="7BBF6C3B"/>
    <w:rsid w:val="7C6675F1"/>
    <w:rsid w:val="7CA0289E"/>
    <w:rsid w:val="7CE20D95"/>
    <w:rsid w:val="7CED4112"/>
    <w:rsid w:val="7D0A06DB"/>
    <w:rsid w:val="7D65537D"/>
    <w:rsid w:val="7D7D2D77"/>
    <w:rsid w:val="7D853A39"/>
    <w:rsid w:val="7DBB1A54"/>
    <w:rsid w:val="7E0D5D12"/>
    <w:rsid w:val="7E13465B"/>
    <w:rsid w:val="7E3D1CB0"/>
    <w:rsid w:val="7E811E0B"/>
    <w:rsid w:val="7EC0388E"/>
    <w:rsid w:val="7EF161FB"/>
    <w:rsid w:val="7F381A36"/>
    <w:rsid w:val="7F39552C"/>
    <w:rsid w:val="7F8518D8"/>
    <w:rsid w:val="7FCC0635"/>
    <w:rsid w:val="7FFA6713"/>
    <w:rsid w:val="7FFF12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ahoma" w:hAnsi="Tahoma" w:eastAsia="EYInterstate Light" w:cs="Tahoma"/>
      <w:kern w:val="2"/>
      <w:sz w:val="21"/>
      <w:szCs w:val="24"/>
      <w:lang w:val="en-US" w:eastAsia="zh-CN" w:bidi="ar-SA"/>
    </w:rPr>
  </w:style>
  <w:style w:type="paragraph" w:styleId="5">
    <w:name w:val="heading 1"/>
    <w:basedOn w:val="1"/>
    <w:next w:val="1"/>
    <w:link w:val="61"/>
    <w:qFormat/>
    <w:uiPriority w:val="0"/>
    <w:pPr>
      <w:keepNext/>
      <w:keepLines/>
      <w:spacing w:before="0" w:after="0" w:line="360" w:lineRule="auto"/>
      <w:jc w:val="center"/>
      <w:outlineLvl w:val="0"/>
    </w:pPr>
    <w:rPr>
      <w:rFonts w:eastAsia="黑体"/>
      <w:b/>
      <w:bCs/>
      <w:kern w:val="44"/>
      <w:sz w:val="44"/>
      <w:szCs w:val="44"/>
    </w:rPr>
  </w:style>
  <w:style w:type="paragraph" w:styleId="6">
    <w:name w:val="heading 2"/>
    <w:basedOn w:val="1"/>
    <w:next w:val="1"/>
    <w:link w:val="93"/>
    <w:autoRedefine/>
    <w:qFormat/>
    <w:uiPriority w:val="0"/>
    <w:pPr>
      <w:keepNext/>
      <w:keepLines/>
      <w:spacing w:before="0" w:after="0" w:line="360" w:lineRule="auto"/>
      <w:ind w:firstLine="640" w:firstLineChars="200"/>
      <w:outlineLvl w:val="1"/>
    </w:pPr>
    <w:rPr>
      <w:rFonts w:ascii="Verdana" w:hAnsi="Verdana" w:eastAsia="宋体"/>
      <w:b/>
      <w:bCs/>
      <w:sz w:val="32"/>
      <w:szCs w:val="32"/>
      <w:lang w:val="zh-CN"/>
    </w:rPr>
  </w:style>
  <w:style w:type="paragraph" w:styleId="7">
    <w:name w:val="heading 3"/>
    <w:basedOn w:val="1"/>
    <w:next w:val="8"/>
    <w:link w:val="97"/>
    <w:autoRedefine/>
    <w:qFormat/>
    <w:uiPriority w:val="9"/>
    <w:pPr>
      <w:keepNext/>
      <w:keepLines/>
      <w:autoSpaceDE w:val="0"/>
      <w:autoSpaceDN w:val="0"/>
      <w:adjustRightInd w:val="0"/>
      <w:spacing w:before="120" w:after="120" w:line="416" w:lineRule="atLeast"/>
      <w:outlineLvl w:val="2"/>
    </w:pPr>
    <w:rPr>
      <w:rFonts w:ascii="华文细黑" w:eastAsia="华文细黑"/>
      <w:kern w:val="0"/>
      <w:sz w:val="28"/>
      <w:szCs w:val="20"/>
      <w:lang w:val="zh-CN"/>
    </w:rPr>
  </w:style>
  <w:style w:type="paragraph" w:styleId="9">
    <w:name w:val="heading 4"/>
    <w:basedOn w:val="1"/>
    <w:next w:val="1"/>
    <w:link w:val="167"/>
    <w:autoRedefine/>
    <w:qFormat/>
    <w:uiPriority w:val="0"/>
    <w:pPr>
      <w:keepNext/>
      <w:outlineLvl w:val="3"/>
    </w:pPr>
    <w:rPr>
      <w:sz w:val="28"/>
      <w:szCs w:val="20"/>
      <w:lang w:val="zh-CN"/>
    </w:rPr>
  </w:style>
  <w:style w:type="paragraph" w:styleId="10">
    <w:name w:val="heading 5"/>
    <w:basedOn w:val="1"/>
    <w:next w:val="1"/>
    <w:link w:val="129"/>
    <w:autoRedefine/>
    <w:qFormat/>
    <w:uiPriority w:val="0"/>
    <w:pPr>
      <w:keepNext/>
      <w:keepLines/>
      <w:spacing w:before="280" w:after="290" w:line="376" w:lineRule="auto"/>
      <w:outlineLvl w:val="4"/>
    </w:pPr>
    <w:rPr>
      <w:b/>
      <w:bCs/>
      <w:sz w:val="28"/>
      <w:szCs w:val="28"/>
    </w:rPr>
  </w:style>
  <w:style w:type="paragraph" w:styleId="11">
    <w:name w:val="heading 6"/>
    <w:basedOn w:val="1"/>
    <w:next w:val="1"/>
    <w:link w:val="81"/>
    <w:autoRedefine/>
    <w:qFormat/>
    <w:uiPriority w:val="0"/>
    <w:pPr>
      <w:keepNext/>
      <w:keepLines/>
      <w:spacing w:before="240" w:after="64" w:line="320" w:lineRule="auto"/>
      <w:outlineLvl w:val="5"/>
    </w:pPr>
    <w:rPr>
      <w:rFonts w:ascii="Verdana" w:hAnsi="Verdana" w:eastAsia="华文细黑"/>
      <w:b/>
      <w:bCs/>
      <w:sz w:val="24"/>
      <w:lang w:val="zh-CN"/>
    </w:rPr>
  </w:style>
  <w:style w:type="paragraph" w:styleId="12">
    <w:name w:val="heading 7"/>
    <w:basedOn w:val="1"/>
    <w:next w:val="1"/>
    <w:link w:val="172"/>
    <w:autoRedefine/>
    <w:qFormat/>
    <w:uiPriority w:val="0"/>
    <w:pPr>
      <w:keepNext/>
      <w:keepLines/>
      <w:spacing w:before="240" w:after="64" w:line="320" w:lineRule="auto"/>
      <w:outlineLvl w:val="6"/>
    </w:pPr>
    <w:rPr>
      <w:b/>
      <w:bCs/>
      <w:sz w:val="24"/>
      <w:lang w:val="zh-CN"/>
    </w:rPr>
  </w:style>
  <w:style w:type="paragraph" w:styleId="13">
    <w:name w:val="heading 8"/>
    <w:basedOn w:val="1"/>
    <w:next w:val="1"/>
    <w:link w:val="113"/>
    <w:qFormat/>
    <w:uiPriority w:val="0"/>
    <w:pPr>
      <w:keepNext/>
      <w:keepLines/>
      <w:spacing w:before="240" w:after="64" w:line="320" w:lineRule="auto"/>
      <w:outlineLvl w:val="7"/>
    </w:pPr>
    <w:rPr>
      <w:rFonts w:ascii="Verdana" w:hAnsi="Verdana" w:eastAsia="华文细黑"/>
      <w:sz w:val="24"/>
      <w:lang w:val="zh-CN"/>
    </w:rPr>
  </w:style>
  <w:style w:type="paragraph" w:styleId="14">
    <w:name w:val="heading 9"/>
    <w:basedOn w:val="1"/>
    <w:next w:val="1"/>
    <w:link w:val="76"/>
    <w:autoRedefine/>
    <w:qFormat/>
    <w:uiPriority w:val="0"/>
    <w:pPr>
      <w:keepNext/>
      <w:keepLines/>
      <w:spacing w:before="240" w:after="64" w:line="320" w:lineRule="auto"/>
      <w:outlineLvl w:val="8"/>
    </w:pPr>
    <w:rPr>
      <w:rFonts w:ascii="Verdana" w:hAnsi="Verdana" w:eastAsia="华文细黑"/>
      <w:szCs w:val="21"/>
      <w:lang w:val="zh-CN"/>
    </w:rPr>
  </w:style>
  <w:style w:type="character" w:default="1" w:styleId="50">
    <w:name w:val="Default Paragraph Font"/>
    <w:autoRedefine/>
    <w:unhideWhenUsed/>
    <w:qFormat/>
    <w:uiPriority w:val="1"/>
  </w:style>
  <w:style w:type="table" w:default="1" w:styleId="48">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3"/>
    <w:link w:val="98"/>
    <w:autoRedefine/>
    <w:qFormat/>
    <w:uiPriority w:val="99"/>
    <w:rPr>
      <w:sz w:val="28"/>
      <w:szCs w:val="20"/>
    </w:rPr>
  </w:style>
  <w:style w:type="paragraph" w:customStyle="1" w:styleId="3">
    <w:name w:val="Default"/>
    <w:next w:val="4"/>
    <w:autoRedefine/>
    <w:qFormat/>
    <w:uiPriority w:val="0"/>
    <w:pPr>
      <w:widowControl w:val="0"/>
      <w:autoSpaceDE w:val="0"/>
      <w:autoSpaceDN w:val="0"/>
      <w:adjustRightInd w:val="0"/>
    </w:pPr>
    <w:rPr>
      <w:rFonts w:ascii="Tahoma" w:hAnsi="Tahoma" w:eastAsia="EYInterstate Light" w:cs="Tahoma"/>
      <w:color w:val="000000"/>
      <w:sz w:val="24"/>
      <w:szCs w:val="24"/>
      <w:lang w:val="en-US" w:eastAsia="zh-CN" w:bidi="ar-SA"/>
    </w:rPr>
  </w:style>
  <w:style w:type="paragraph" w:customStyle="1" w:styleId="4">
    <w:name w:val="目录 71"/>
    <w:next w:val="1"/>
    <w:autoRedefine/>
    <w:qFormat/>
    <w:uiPriority w:val="0"/>
    <w:pPr>
      <w:wordWrap w:val="0"/>
      <w:ind w:left="2550"/>
      <w:jc w:val="both"/>
    </w:pPr>
    <w:rPr>
      <w:rFonts w:ascii="Times New Roman" w:hAnsi="Times New Roman" w:eastAsia="宋体" w:cs="Times New Roman"/>
      <w:sz w:val="21"/>
      <w:lang w:val="en-US" w:eastAsia="zh-CN" w:bidi="ar-SA"/>
    </w:rPr>
  </w:style>
  <w:style w:type="paragraph" w:styleId="8">
    <w:name w:val="Normal Indent"/>
    <w:basedOn w:val="1"/>
    <w:next w:val="1"/>
    <w:link w:val="138"/>
    <w:autoRedefine/>
    <w:qFormat/>
    <w:uiPriority w:val="0"/>
    <w:pPr>
      <w:autoSpaceDE w:val="0"/>
      <w:autoSpaceDN w:val="0"/>
      <w:adjustRightInd w:val="0"/>
      <w:spacing w:line="315" w:lineRule="atLeast"/>
      <w:ind w:firstLine="420"/>
      <w:jc w:val="left"/>
    </w:pPr>
    <w:rPr>
      <w:rFonts w:ascii="Cambria Math" w:eastAsia="Cambria Math"/>
      <w:kern w:val="0"/>
      <w:sz w:val="28"/>
      <w:szCs w:val="20"/>
    </w:rPr>
  </w:style>
  <w:style w:type="paragraph" w:styleId="15">
    <w:name w:val="toc 7"/>
    <w:basedOn w:val="1"/>
    <w:next w:val="1"/>
    <w:autoRedefine/>
    <w:unhideWhenUsed/>
    <w:qFormat/>
    <w:uiPriority w:val="0"/>
    <w:pPr>
      <w:ind w:left="2520" w:leftChars="1200"/>
    </w:pPr>
    <w:rPr>
      <w:rFonts w:ascii="楷体_GB2312" w:hAnsi="楷体_GB2312"/>
      <w:szCs w:val="22"/>
    </w:rPr>
  </w:style>
  <w:style w:type="paragraph" w:styleId="16">
    <w:name w:val="Document Map"/>
    <w:basedOn w:val="1"/>
    <w:link w:val="63"/>
    <w:autoRedefine/>
    <w:semiHidden/>
    <w:qFormat/>
    <w:uiPriority w:val="0"/>
    <w:rPr>
      <w:rFonts w:ascii="EYInterstate Light"/>
      <w:sz w:val="18"/>
      <w:szCs w:val="18"/>
    </w:rPr>
  </w:style>
  <w:style w:type="paragraph" w:styleId="17">
    <w:name w:val="annotation text"/>
    <w:basedOn w:val="1"/>
    <w:link w:val="121"/>
    <w:autoRedefine/>
    <w:qFormat/>
    <w:uiPriority w:val="99"/>
    <w:pPr>
      <w:jc w:val="left"/>
    </w:pPr>
  </w:style>
  <w:style w:type="paragraph" w:styleId="18">
    <w:name w:val="Salutation"/>
    <w:basedOn w:val="1"/>
    <w:next w:val="1"/>
    <w:link w:val="80"/>
    <w:autoRedefine/>
    <w:qFormat/>
    <w:uiPriority w:val="0"/>
    <w:rPr>
      <w:rFonts w:cs="Times New Roman"/>
      <w:sz w:val="24"/>
      <w:lang w:val="zh-CN"/>
    </w:rPr>
  </w:style>
  <w:style w:type="paragraph" w:styleId="19">
    <w:name w:val="Body Text 3"/>
    <w:basedOn w:val="1"/>
    <w:link w:val="148"/>
    <w:autoRedefine/>
    <w:qFormat/>
    <w:uiPriority w:val="0"/>
    <w:pPr>
      <w:spacing w:after="120"/>
    </w:pPr>
    <w:rPr>
      <w:sz w:val="16"/>
      <w:szCs w:val="16"/>
      <w:lang w:val="zh-CN"/>
    </w:rPr>
  </w:style>
  <w:style w:type="paragraph" w:styleId="20">
    <w:name w:val="Body Text Indent"/>
    <w:basedOn w:val="1"/>
    <w:next w:val="21"/>
    <w:link w:val="158"/>
    <w:autoRedefine/>
    <w:qFormat/>
    <w:uiPriority w:val="0"/>
    <w:pPr>
      <w:autoSpaceDE w:val="0"/>
      <w:autoSpaceDN w:val="0"/>
      <w:adjustRightInd w:val="0"/>
      <w:spacing w:after="120" w:line="360" w:lineRule="atLeast"/>
      <w:ind w:left="900"/>
    </w:pPr>
    <w:rPr>
      <w:rFonts w:ascii="Cambria Math" w:eastAsia="Cambria Math" w:cs="Times New Roman"/>
      <w:kern w:val="0"/>
      <w:sz w:val="28"/>
      <w:szCs w:val="20"/>
      <w:lang w:val="zh-CN"/>
    </w:rPr>
  </w:style>
  <w:style w:type="paragraph" w:styleId="21">
    <w:name w:val="Body Text First Indent 2"/>
    <w:basedOn w:val="20"/>
    <w:link w:val="135"/>
    <w:autoRedefine/>
    <w:qFormat/>
    <w:uiPriority w:val="0"/>
    <w:pPr>
      <w:autoSpaceDE/>
      <w:autoSpaceDN/>
      <w:adjustRightInd/>
      <w:spacing w:line="240" w:lineRule="auto"/>
      <w:ind w:left="420" w:leftChars="200" w:firstLine="420" w:firstLineChars="200"/>
      <w:jc w:val="left"/>
    </w:pPr>
    <w:rPr>
      <w:sz w:val="22"/>
      <w:szCs w:val="22"/>
      <w:lang w:eastAsia="en-US"/>
    </w:rPr>
  </w:style>
  <w:style w:type="paragraph" w:styleId="22">
    <w:name w:val="List 2"/>
    <w:basedOn w:val="1"/>
    <w:autoRedefine/>
    <w:qFormat/>
    <w:uiPriority w:val="0"/>
    <w:pPr>
      <w:ind w:left="100" w:leftChars="200" w:hanging="200" w:hangingChars="200"/>
    </w:pPr>
  </w:style>
  <w:style w:type="paragraph" w:styleId="23">
    <w:name w:val="Block Text"/>
    <w:basedOn w:val="1"/>
    <w:autoRedefine/>
    <w:qFormat/>
    <w:uiPriority w:val="0"/>
    <w:pPr>
      <w:adjustRightInd w:val="0"/>
      <w:snapToGrid w:val="0"/>
      <w:spacing w:line="300" w:lineRule="auto"/>
      <w:ind w:left="958" w:right="-120" w:rightChars="-120"/>
      <w:jc w:val="left"/>
    </w:pPr>
    <w:rPr>
      <w:rFonts w:hint="eastAsia" w:ascii="黑体" w:hAnsi="黑体"/>
      <w:sz w:val="28"/>
      <w:szCs w:val="20"/>
    </w:rPr>
  </w:style>
  <w:style w:type="paragraph" w:styleId="24">
    <w:name w:val="index 4"/>
    <w:basedOn w:val="1"/>
    <w:next w:val="1"/>
    <w:autoRedefine/>
    <w:qFormat/>
    <w:uiPriority w:val="0"/>
    <w:pPr>
      <w:ind w:left="600" w:leftChars="600"/>
    </w:pPr>
  </w:style>
  <w:style w:type="paragraph" w:styleId="25">
    <w:name w:val="toc 5"/>
    <w:basedOn w:val="1"/>
    <w:next w:val="1"/>
    <w:autoRedefine/>
    <w:unhideWhenUsed/>
    <w:qFormat/>
    <w:uiPriority w:val="0"/>
    <w:pPr>
      <w:ind w:left="1680" w:leftChars="800"/>
    </w:pPr>
    <w:rPr>
      <w:rFonts w:ascii="楷体_GB2312" w:hAnsi="楷体_GB2312"/>
      <w:szCs w:val="22"/>
    </w:rPr>
  </w:style>
  <w:style w:type="paragraph" w:styleId="26">
    <w:name w:val="toc 3"/>
    <w:basedOn w:val="1"/>
    <w:next w:val="1"/>
    <w:autoRedefine/>
    <w:qFormat/>
    <w:uiPriority w:val="0"/>
    <w:pPr>
      <w:tabs>
        <w:tab w:val="left" w:pos="1400"/>
        <w:tab w:val="right" w:leader="dot" w:pos="9060"/>
      </w:tabs>
      <w:autoSpaceDE w:val="0"/>
      <w:autoSpaceDN w:val="0"/>
      <w:adjustRightInd w:val="0"/>
      <w:spacing w:line="315" w:lineRule="atLeast"/>
      <w:ind w:left="800"/>
      <w:jc w:val="left"/>
    </w:pPr>
    <w:rPr>
      <w:rFonts w:eastAsia="Cambria Math"/>
      <w:i/>
      <w:kern w:val="0"/>
      <w:sz w:val="24"/>
      <w:szCs w:val="20"/>
    </w:rPr>
  </w:style>
  <w:style w:type="paragraph" w:styleId="27">
    <w:name w:val="Plain Text"/>
    <w:basedOn w:val="1"/>
    <w:link w:val="110"/>
    <w:autoRedefine/>
    <w:qFormat/>
    <w:uiPriority w:val="0"/>
    <w:rPr>
      <w:rFonts w:ascii="EYInterstate Light" w:hAnsi="中圆体"/>
      <w:szCs w:val="20"/>
      <w:lang w:val="zh-CN"/>
    </w:rPr>
  </w:style>
  <w:style w:type="paragraph" w:styleId="28">
    <w:name w:val="toc 8"/>
    <w:basedOn w:val="1"/>
    <w:next w:val="1"/>
    <w:autoRedefine/>
    <w:unhideWhenUsed/>
    <w:qFormat/>
    <w:uiPriority w:val="0"/>
    <w:pPr>
      <w:ind w:left="2940" w:leftChars="1400"/>
    </w:pPr>
    <w:rPr>
      <w:rFonts w:ascii="楷体_GB2312" w:hAnsi="楷体_GB2312"/>
      <w:szCs w:val="22"/>
    </w:rPr>
  </w:style>
  <w:style w:type="paragraph" w:styleId="29">
    <w:name w:val="Date"/>
    <w:basedOn w:val="1"/>
    <w:next w:val="1"/>
    <w:link w:val="82"/>
    <w:autoRedefine/>
    <w:qFormat/>
    <w:uiPriority w:val="0"/>
    <w:pPr>
      <w:ind w:left="100" w:leftChars="2500"/>
    </w:pPr>
    <w:rPr>
      <w:szCs w:val="20"/>
    </w:rPr>
  </w:style>
  <w:style w:type="paragraph" w:styleId="30">
    <w:name w:val="Body Text Indent 2"/>
    <w:basedOn w:val="1"/>
    <w:link w:val="142"/>
    <w:autoRedefine/>
    <w:qFormat/>
    <w:uiPriority w:val="0"/>
    <w:pPr>
      <w:spacing w:line="480" w:lineRule="auto"/>
      <w:ind w:firstLine="480" w:firstLineChars="200"/>
    </w:pPr>
    <w:rPr>
      <w:rFonts w:ascii="等线 Light" w:hAnsi="EYInterstate Light" w:eastAsia="等线 Light" w:cs="Times New Roman"/>
      <w:sz w:val="24"/>
      <w:lang w:val="zh-CN"/>
    </w:rPr>
  </w:style>
  <w:style w:type="paragraph" w:styleId="31">
    <w:name w:val="Balloon Text"/>
    <w:basedOn w:val="1"/>
    <w:link w:val="70"/>
    <w:autoRedefine/>
    <w:qFormat/>
    <w:uiPriority w:val="0"/>
    <w:rPr>
      <w:rFonts w:cs="Times New Roman"/>
      <w:sz w:val="18"/>
      <w:szCs w:val="18"/>
      <w:lang w:val="zh-CN"/>
    </w:rPr>
  </w:style>
  <w:style w:type="paragraph" w:styleId="32">
    <w:name w:val="footer"/>
    <w:basedOn w:val="1"/>
    <w:link w:val="78"/>
    <w:autoRedefine/>
    <w:qFormat/>
    <w:uiPriority w:val="99"/>
    <w:pPr>
      <w:tabs>
        <w:tab w:val="center" w:pos="4153"/>
        <w:tab w:val="right" w:pos="8306"/>
      </w:tabs>
      <w:snapToGrid w:val="0"/>
      <w:jc w:val="left"/>
    </w:pPr>
    <w:rPr>
      <w:sz w:val="18"/>
      <w:szCs w:val="18"/>
      <w:lang w:val="zh-CN"/>
    </w:rPr>
  </w:style>
  <w:style w:type="paragraph" w:styleId="33">
    <w:name w:val="header"/>
    <w:basedOn w:val="1"/>
    <w:link w:val="91"/>
    <w:autoRedefine/>
    <w:qFormat/>
    <w:uiPriority w:val="99"/>
    <w:pPr>
      <w:pBdr>
        <w:bottom w:val="single" w:color="auto" w:sz="6" w:space="1"/>
      </w:pBdr>
      <w:tabs>
        <w:tab w:val="center" w:pos="4153"/>
        <w:tab w:val="right" w:pos="8306"/>
      </w:tabs>
      <w:snapToGrid w:val="0"/>
      <w:jc w:val="center"/>
    </w:pPr>
    <w:rPr>
      <w:sz w:val="18"/>
      <w:szCs w:val="18"/>
      <w:lang w:val="zh-CN"/>
    </w:rPr>
  </w:style>
  <w:style w:type="paragraph" w:styleId="34">
    <w:name w:val="toc 1"/>
    <w:basedOn w:val="1"/>
    <w:next w:val="1"/>
    <w:autoRedefine/>
    <w:qFormat/>
    <w:uiPriority w:val="0"/>
    <w:pPr>
      <w:tabs>
        <w:tab w:val="left" w:pos="360"/>
        <w:tab w:val="right" w:leader="dot" w:pos="8280"/>
      </w:tabs>
      <w:autoSpaceDE w:val="0"/>
      <w:autoSpaceDN w:val="0"/>
      <w:adjustRightInd w:val="0"/>
      <w:spacing w:before="120" w:after="120" w:line="315" w:lineRule="atLeast"/>
      <w:ind w:right="120"/>
      <w:jc w:val="right"/>
    </w:pPr>
    <w:rPr>
      <w:rFonts w:ascii="EYInterstate Light" w:hAnsi="EYInterstate Light" w:eastAsia="华文细黑"/>
      <w:caps/>
      <w:kern w:val="0"/>
      <w:szCs w:val="21"/>
    </w:rPr>
  </w:style>
  <w:style w:type="paragraph" w:styleId="35">
    <w:name w:val="toc 4"/>
    <w:basedOn w:val="1"/>
    <w:next w:val="1"/>
    <w:autoRedefine/>
    <w:unhideWhenUsed/>
    <w:qFormat/>
    <w:uiPriority w:val="0"/>
    <w:pPr>
      <w:ind w:left="1260" w:leftChars="600"/>
    </w:pPr>
    <w:rPr>
      <w:rFonts w:ascii="楷体_GB2312" w:hAnsi="楷体_GB2312"/>
      <w:szCs w:val="22"/>
    </w:rPr>
  </w:style>
  <w:style w:type="paragraph" w:styleId="36">
    <w:name w:val="Subtitle"/>
    <w:basedOn w:val="1"/>
    <w:next w:val="1"/>
    <w:link w:val="69"/>
    <w:autoRedefine/>
    <w:qFormat/>
    <w:uiPriority w:val="0"/>
    <w:pPr>
      <w:spacing w:before="240" w:after="60" w:line="312" w:lineRule="auto"/>
      <w:jc w:val="center"/>
      <w:outlineLvl w:val="1"/>
    </w:pPr>
    <w:rPr>
      <w:rFonts w:ascii="EYInterstate Light"/>
      <w:sz w:val="18"/>
      <w:szCs w:val="18"/>
      <w:lang w:val="zh-CN"/>
    </w:rPr>
  </w:style>
  <w:style w:type="paragraph" w:styleId="37">
    <w:name w:val="List"/>
    <w:basedOn w:val="1"/>
    <w:autoRedefine/>
    <w:qFormat/>
    <w:uiPriority w:val="0"/>
    <w:pPr>
      <w:ind w:left="200" w:hanging="200" w:hangingChars="200"/>
    </w:pPr>
  </w:style>
  <w:style w:type="paragraph" w:styleId="38">
    <w:name w:val="footnote text"/>
    <w:basedOn w:val="1"/>
    <w:link w:val="112"/>
    <w:autoRedefine/>
    <w:qFormat/>
    <w:uiPriority w:val="0"/>
    <w:rPr>
      <w:rFonts w:cs="Times New Roman"/>
      <w:sz w:val="20"/>
      <w:szCs w:val="20"/>
      <w:lang w:val="zh-CN"/>
    </w:rPr>
  </w:style>
  <w:style w:type="paragraph" w:styleId="39">
    <w:name w:val="toc 6"/>
    <w:basedOn w:val="1"/>
    <w:next w:val="1"/>
    <w:autoRedefine/>
    <w:unhideWhenUsed/>
    <w:qFormat/>
    <w:uiPriority w:val="0"/>
    <w:pPr>
      <w:ind w:left="2100" w:leftChars="1000"/>
    </w:pPr>
    <w:rPr>
      <w:rFonts w:ascii="楷体_GB2312" w:hAnsi="楷体_GB2312"/>
      <w:szCs w:val="22"/>
    </w:rPr>
  </w:style>
  <w:style w:type="paragraph" w:styleId="40">
    <w:name w:val="Body Text Indent 3"/>
    <w:basedOn w:val="1"/>
    <w:link w:val="108"/>
    <w:autoRedefine/>
    <w:qFormat/>
    <w:uiPriority w:val="0"/>
    <w:pPr>
      <w:spacing w:after="120" w:line="360" w:lineRule="atLeast"/>
      <w:ind w:firstLine="720" w:firstLineChars="300"/>
    </w:pPr>
    <w:rPr>
      <w:rFonts w:cs="Times New Roman"/>
      <w:sz w:val="24"/>
      <w:szCs w:val="20"/>
      <w:lang w:val="zh-CN"/>
    </w:rPr>
  </w:style>
  <w:style w:type="paragraph" w:styleId="41">
    <w:name w:val="table of figures"/>
    <w:basedOn w:val="1"/>
    <w:next w:val="1"/>
    <w:autoRedefine/>
    <w:qFormat/>
    <w:uiPriority w:val="0"/>
    <w:pPr>
      <w:ind w:left="200" w:leftChars="200" w:hanging="200" w:hangingChars="200"/>
    </w:pPr>
  </w:style>
  <w:style w:type="paragraph" w:styleId="42">
    <w:name w:val="toc 2"/>
    <w:basedOn w:val="1"/>
    <w:next w:val="1"/>
    <w:autoRedefine/>
    <w:qFormat/>
    <w:uiPriority w:val="0"/>
    <w:pPr>
      <w:tabs>
        <w:tab w:val="left" w:pos="360"/>
        <w:tab w:val="right" w:leader="dot" w:pos="8460"/>
        <w:tab w:val="right" w:leader="dot" w:pos="9540"/>
      </w:tabs>
      <w:autoSpaceDE w:val="0"/>
      <w:autoSpaceDN w:val="0"/>
      <w:adjustRightInd w:val="0"/>
      <w:spacing w:line="315" w:lineRule="atLeast"/>
      <w:jc w:val="left"/>
    </w:pPr>
    <w:rPr>
      <w:rFonts w:ascii="Century Gothic" w:hAnsi="Century Gothic" w:eastAsia="Century Gothic"/>
      <w:b/>
      <w:smallCaps/>
      <w:color w:val="000000"/>
      <w:kern w:val="0"/>
      <w:sz w:val="20"/>
      <w:szCs w:val="20"/>
    </w:rPr>
  </w:style>
  <w:style w:type="paragraph" w:styleId="43">
    <w:name w:val="toc 9"/>
    <w:basedOn w:val="1"/>
    <w:next w:val="1"/>
    <w:autoRedefine/>
    <w:unhideWhenUsed/>
    <w:qFormat/>
    <w:uiPriority w:val="0"/>
    <w:pPr>
      <w:ind w:left="3360" w:leftChars="1600"/>
    </w:pPr>
    <w:rPr>
      <w:rFonts w:ascii="楷体_GB2312" w:hAnsi="楷体_GB2312"/>
      <w:szCs w:val="22"/>
    </w:rPr>
  </w:style>
  <w:style w:type="paragraph" w:styleId="44">
    <w:name w:val="Body Text 2"/>
    <w:basedOn w:val="1"/>
    <w:link w:val="168"/>
    <w:autoRedefine/>
    <w:qFormat/>
    <w:uiPriority w:val="0"/>
    <w:pPr>
      <w:spacing w:line="120" w:lineRule="atLeast"/>
    </w:pPr>
    <w:rPr>
      <w:rFonts w:cs="Times New Roman"/>
      <w:sz w:val="24"/>
      <w:szCs w:val="20"/>
      <w:lang w:val="zh-CN"/>
    </w:rPr>
  </w:style>
  <w:style w:type="paragraph" w:styleId="45">
    <w:name w:val="Normal (Web)"/>
    <w:basedOn w:val="1"/>
    <w:link w:val="163"/>
    <w:autoRedefine/>
    <w:qFormat/>
    <w:uiPriority w:val="0"/>
    <w:pPr>
      <w:widowControl/>
      <w:spacing w:before="100" w:beforeAutospacing="1" w:after="100" w:afterAutospacing="1"/>
      <w:jc w:val="left"/>
    </w:pPr>
    <w:rPr>
      <w:rFonts w:ascii="楷体_GB2312" w:hAnsi="楷体_GB2312" w:cs="Times New Roman"/>
      <w:kern w:val="0"/>
      <w:sz w:val="24"/>
      <w:lang w:val="zh-CN"/>
    </w:rPr>
  </w:style>
  <w:style w:type="paragraph" w:styleId="46">
    <w:name w:val="Title"/>
    <w:basedOn w:val="1"/>
    <w:next w:val="1"/>
    <w:link w:val="100"/>
    <w:autoRedefine/>
    <w:qFormat/>
    <w:uiPriority w:val="0"/>
    <w:pPr>
      <w:spacing w:before="240" w:after="60"/>
      <w:jc w:val="center"/>
      <w:outlineLvl w:val="0"/>
    </w:pPr>
    <w:rPr>
      <w:rFonts w:ascii="等线" w:hAnsi="等线" w:cs="Times New Roman"/>
      <w:b/>
      <w:bCs/>
      <w:sz w:val="32"/>
      <w:szCs w:val="32"/>
      <w:lang w:val="zh-CN"/>
    </w:rPr>
  </w:style>
  <w:style w:type="paragraph" w:styleId="47">
    <w:name w:val="annotation subject"/>
    <w:basedOn w:val="17"/>
    <w:next w:val="17"/>
    <w:link w:val="152"/>
    <w:autoRedefine/>
    <w:qFormat/>
    <w:uiPriority w:val="99"/>
    <w:rPr>
      <w:b/>
      <w:bCs/>
      <w:szCs w:val="20"/>
    </w:rPr>
  </w:style>
  <w:style w:type="table" w:styleId="49">
    <w:name w:val="Table Grid"/>
    <w:basedOn w:val="4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1">
    <w:name w:val="Strong"/>
    <w:autoRedefine/>
    <w:qFormat/>
    <w:uiPriority w:val="0"/>
    <w:rPr>
      <w:b/>
      <w:bCs/>
    </w:rPr>
  </w:style>
  <w:style w:type="character" w:styleId="52">
    <w:name w:val="page number"/>
    <w:basedOn w:val="50"/>
    <w:autoRedefine/>
    <w:qFormat/>
    <w:uiPriority w:val="0"/>
  </w:style>
  <w:style w:type="character" w:styleId="53">
    <w:name w:val="Emphasis"/>
    <w:autoRedefine/>
    <w:qFormat/>
    <w:uiPriority w:val="0"/>
    <w:rPr>
      <w:rFonts w:ascii="楷体_GB2312" w:hAnsi="楷体_GB2312"/>
      <w:b/>
      <w:i/>
      <w:iCs/>
    </w:rPr>
  </w:style>
  <w:style w:type="character" w:styleId="54">
    <w:name w:val="Hyperlink"/>
    <w:basedOn w:val="50"/>
    <w:autoRedefine/>
    <w:unhideWhenUsed/>
    <w:qFormat/>
    <w:uiPriority w:val="99"/>
    <w:rPr>
      <w:color w:val="0000FF"/>
      <w:u w:val="single"/>
    </w:rPr>
  </w:style>
  <w:style w:type="character" w:styleId="55">
    <w:name w:val="annotation reference"/>
    <w:autoRedefine/>
    <w:qFormat/>
    <w:uiPriority w:val="0"/>
    <w:rPr>
      <w:sz w:val="21"/>
      <w:szCs w:val="21"/>
    </w:rPr>
  </w:style>
  <w:style w:type="character" w:styleId="56">
    <w:name w:val="footnote reference"/>
    <w:autoRedefine/>
    <w:qFormat/>
    <w:uiPriority w:val="0"/>
    <w:rPr>
      <w:vertAlign w:val="superscript"/>
    </w:rPr>
  </w:style>
  <w:style w:type="paragraph" w:styleId="57">
    <w:name w:val="List Paragraph"/>
    <w:basedOn w:val="1"/>
    <w:next w:val="1"/>
    <w:autoRedefine/>
    <w:qFormat/>
    <w:uiPriority w:val="99"/>
    <w:pPr>
      <w:ind w:firstLine="420" w:firstLineChars="200"/>
    </w:pPr>
    <w:rPr>
      <w:rFonts w:ascii="仿宋_GB2312" w:eastAsia="仿宋_GB2312"/>
      <w:sz w:val="28"/>
      <w:szCs w:val="28"/>
    </w:rPr>
  </w:style>
  <w:style w:type="paragraph" w:customStyle="1" w:styleId="58">
    <w:name w:val="[Normal]"/>
    <w:autoRedefine/>
    <w:qFormat/>
    <w:uiPriority w:val="0"/>
    <w:rPr>
      <w:rFonts w:ascii="宋体" w:hAnsi="宋体" w:eastAsia="宋体" w:cs="Times New Roman"/>
      <w:sz w:val="24"/>
      <w:szCs w:val="22"/>
      <w:lang w:val="zh-CN" w:eastAsia="zh-CN" w:bidi="ar-SA"/>
    </w:rPr>
  </w:style>
  <w:style w:type="character" w:customStyle="1" w:styleId="59">
    <w:name w:val="已访问的超链接1"/>
    <w:autoRedefine/>
    <w:qFormat/>
    <w:uiPriority w:val="99"/>
    <w:rPr>
      <w:color w:val="800080"/>
      <w:u w:val="single"/>
    </w:rPr>
  </w:style>
  <w:style w:type="character" w:customStyle="1" w:styleId="60">
    <w:name w:val="zbggmain style9"/>
    <w:basedOn w:val="50"/>
    <w:autoRedefine/>
    <w:qFormat/>
    <w:uiPriority w:val="0"/>
  </w:style>
  <w:style w:type="character" w:customStyle="1" w:styleId="61">
    <w:name w:val="标题 1 Char1"/>
    <w:link w:val="5"/>
    <w:autoRedefine/>
    <w:qFormat/>
    <w:uiPriority w:val="0"/>
    <w:rPr>
      <w:rFonts w:eastAsia="黑体"/>
      <w:b/>
      <w:bCs/>
      <w:kern w:val="44"/>
      <w:sz w:val="44"/>
      <w:szCs w:val="44"/>
      <w:lang w:val="en-US" w:eastAsia="zh-CN" w:bidi="ar-SA"/>
    </w:rPr>
  </w:style>
  <w:style w:type="character" w:customStyle="1" w:styleId="62">
    <w:name w:val="Char Char1"/>
    <w:autoRedefine/>
    <w:qFormat/>
    <w:uiPriority w:val="0"/>
    <w:rPr>
      <w:rFonts w:ascii="Cambria Math" w:eastAsia="Cambria Math"/>
      <w:sz w:val="28"/>
    </w:rPr>
  </w:style>
  <w:style w:type="character" w:customStyle="1" w:styleId="63">
    <w:name w:val="文档结构图 Char"/>
    <w:link w:val="16"/>
    <w:autoRedefine/>
    <w:qFormat/>
    <w:locked/>
    <w:uiPriority w:val="0"/>
    <w:rPr>
      <w:rFonts w:ascii="EYInterstate Light" w:eastAsia="EYInterstate Light"/>
      <w:kern w:val="2"/>
      <w:sz w:val="18"/>
      <w:szCs w:val="18"/>
      <w:lang w:val="en-US" w:eastAsia="zh-CN" w:bidi="ar-SA"/>
    </w:rPr>
  </w:style>
  <w:style w:type="character" w:customStyle="1" w:styleId="64">
    <w:name w:val="标题 4 Char Char"/>
    <w:autoRedefine/>
    <w:qFormat/>
    <w:uiPriority w:val="0"/>
    <w:rPr>
      <w:rFonts w:ascii="华文细黑" w:eastAsia="华文细黑"/>
      <w:b/>
      <w:kern w:val="2"/>
      <w:sz w:val="24"/>
      <w:lang w:val="en-US" w:eastAsia="zh-CN" w:bidi="ar-SA"/>
    </w:rPr>
  </w:style>
  <w:style w:type="character" w:customStyle="1" w:styleId="65">
    <w:name w:val="批注主题 Char"/>
    <w:autoRedefine/>
    <w:qFormat/>
    <w:uiPriority w:val="0"/>
    <w:rPr>
      <w:rFonts w:ascii="楷体_GB2312" w:hAnsi="楷体_GB2312"/>
      <w:b/>
      <w:bCs/>
      <w:kern w:val="2"/>
      <w:sz w:val="21"/>
      <w:szCs w:val="24"/>
    </w:rPr>
  </w:style>
  <w:style w:type="character" w:customStyle="1" w:styleId="66">
    <w:name w:val="Section Head Char1"/>
    <w:autoRedefine/>
    <w:qFormat/>
    <w:uiPriority w:val="0"/>
    <w:rPr>
      <w:rFonts w:eastAsia="华文细黑"/>
      <w:b/>
      <w:bCs/>
      <w:snapToGrid w:val="0"/>
      <w:kern w:val="44"/>
      <w:sz w:val="36"/>
      <w:szCs w:val="44"/>
      <w:lang w:val="en-US" w:eastAsia="zh-CN" w:bidi="ar-SA"/>
    </w:rPr>
  </w:style>
  <w:style w:type="character" w:customStyle="1" w:styleId="67">
    <w:name w:val="Char Char20"/>
    <w:autoRedefine/>
    <w:qFormat/>
    <w:uiPriority w:val="0"/>
    <w:rPr>
      <w:rFonts w:ascii="Verdana" w:hAnsi="Verdana" w:eastAsia="华文细黑"/>
      <w:sz w:val="24"/>
      <w:szCs w:val="24"/>
    </w:rPr>
  </w:style>
  <w:style w:type="character" w:customStyle="1" w:styleId="68">
    <w:name w:val="正文2 Char Char"/>
    <w:autoRedefine/>
    <w:qFormat/>
    <w:uiPriority w:val="0"/>
    <w:rPr>
      <w:rFonts w:eastAsia="宋体"/>
      <w:sz w:val="24"/>
    </w:rPr>
  </w:style>
  <w:style w:type="character" w:customStyle="1" w:styleId="69">
    <w:name w:val="副标题 Char"/>
    <w:link w:val="36"/>
    <w:autoRedefine/>
    <w:qFormat/>
    <w:uiPriority w:val="0"/>
    <w:rPr>
      <w:rFonts w:ascii="EYInterstate Light"/>
      <w:kern w:val="2"/>
      <w:sz w:val="18"/>
      <w:szCs w:val="18"/>
      <w:lang w:bidi="ar-SA"/>
    </w:rPr>
  </w:style>
  <w:style w:type="character" w:customStyle="1" w:styleId="70">
    <w:name w:val="批注框文本 Char"/>
    <w:link w:val="31"/>
    <w:autoRedefine/>
    <w:qFormat/>
    <w:uiPriority w:val="0"/>
    <w:rPr>
      <w:kern w:val="2"/>
      <w:sz w:val="18"/>
      <w:szCs w:val="18"/>
    </w:rPr>
  </w:style>
  <w:style w:type="character" w:customStyle="1" w:styleId="71">
    <w:name w:val="副标题 字符1"/>
    <w:autoRedefine/>
    <w:qFormat/>
    <w:uiPriority w:val="11"/>
    <w:rPr>
      <w:b/>
      <w:bCs/>
      <w:kern w:val="28"/>
      <w:sz w:val="32"/>
      <w:szCs w:val="32"/>
    </w:rPr>
  </w:style>
  <w:style w:type="character" w:customStyle="1" w:styleId="72">
    <w:name w:val="页脚 Char"/>
    <w:autoRedefine/>
    <w:qFormat/>
    <w:uiPriority w:val="99"/>
    <w:rPr>
      <w:sz w:val="18"/>
      <w:szCs w:val="18"/>
    </w:rPr>
  </w:style>
  <w:style w:type="character" w:customStyle="1" w:styleId="73">
    <w:name w:val="条标题1.1.1 Char"/>
    <w:autoRedefine/>
    <w:qFormat/>
    <w:uiPriority w:val="0"/>
    <w:rPr>
      <w:rFonts w:ascii="EYInterstate Light" w:eastAsia="EYInterstate Light"/>
      <w:b/>
      <w:bCs/>
      <w:kern w:val="2"/>
      <w:sz w:val="28"/>
      <w:lang w:val="en-US" w:eastAsia="zh-CN" w:bidi="ar-SA"/>
    </w:rPr>
  </w:style>
  <w:style w:type="character" w:customStyle="1" w:styleId="74">
    <w:name w:val="Char Char17"/>
    <w:autoRedefine/>
    <w:qFormat/>
    <w:locked/>
    <w:uiPriority w:val="0"/>
    <w:rPr>
      <w:kern w:val="2"/>
      <w:sz w:val="18"/>
      <w:szCs w:val="18"/>
    </w:rPr>
  </w:style>
  <w:style w:type="character" w:customStyle="1" w:styleId="75">
    <w:name w:val="Char Char171"/>
    <w:autoRedefine/>
    <w:qFormat/>
    <w:locked/>
    <w:uiPriority w:val="0"/>
    <w:rPr>
      <w:kern w:val="2"/>
      <w:sz w:val="18"/>
      <w:szCs w:val="18"/>
    </w:rPr>
  </w:style>
  <w:style w:type="character" w:customStyle="1" w:styleId="76">
    <w:name w:val="标题 9 Char"/>
    <w:link w:val="14"/>
    <w:autoRedefine/>
    <w:qFormat/>
    <w:uiPriority w:val="0"/>
    <w:rPr>
      <w:rFonts w:ascii="Verdana" w:hAnsi="Verdana" w:eastAsia="华文细黑"/>
      <w:kern w:val="2"/>
      <w:sz w:val="21"/>
      <w:szCs w:val="21"/>
      <w:lang w:bidi="ar-SA"/>
    </w:rPr>
  </w:style>
  <w:style w:type="character" w:customStyle="1" w:styleId="77">
    <w:name w:val="Char Char18"/>
    <w:autoRedefine/>
    <w:qFormat/>
    <w:locked/>
    <w:uiPriority w:val="0"/>
    <w:rPr>
      <w:kern w:val="2"/>
      <w:sz w:val="18"/>
      <w:szCs w:val="18"/>
    </w:rPr>
  </w:style>
  <w:style w:type="character" w:customStyle="1" w:styleId="78">
    <w:name w:val="页脚 Char1"/>
    <w:link w:val="32"/>
    <w:autoRedefine/>
    <w:qFormat/>
    <w:uiPriority w:val="99"/>
    <w:rPr>
      <w:kern w:val="2"/>
      <w:sz w:val="18"/>
      <w:szCs w:val="18"/>
      <w:lang w:bidi="ar-SA"/>
    </w:rPr>
  </w:style>
  <w:style w:type="character" w:customStyle="1" w:styleId="79">
    <w:name w:val="Char Char19"/>
    <w:autoRedefine/>
    <w:qFormat/>
    <w:uiPriority w:val="0"/>
    <w:rPr>
      <w:rFonts w:ascii="Verdana" w:hAnsi="Verdana" w:eastAsia="华文细黑"/>
      <w:sz w:val="21"/>
      <w:szCs w:val="21"/>
    </w:rPr>
  </w:style>
  <w:style w:type="character" w:customStyle="1" w:styleId="80">
    <w:name w:val="称呼 Char"/>
    <w:link w:val="18"/>
    <w:autoRedefine/>
    <w:qFormat/>
    <w:uiPriority w:val="0"/>
    <w:rPr>
      <w:kern w:val="2"/>
      <w:sz w:val="24"/>
      <w:szCs w:val="24"/>
    </w:rPr>
  </w:style>
  <w:style w:type="character" w:customStyle="1" w:styleId="81">
    <w:name w:val="标题 6 Char"/>
    <w:link w:val="11"/>
    <w:autoRedefine/>
    <w:qFormat/>
    <w:uiPriority w:val="0"/>
    <w:rPr>
      <w:rFonts w:ascii="Verdana" w:hAnsi="Verdana" w:eastAsia="华文细黑"/>
      <w:b/>
      <w:bCs/>
      <w:kern w:val="2"/>
      <w:sz w:val="24"/>
      <w:szCs w:val="24"/>
      <w:lang w:bidi="ar-SA"/>
    </w:rPr>
  </w:style>
  <w:style w:type="character" w:customStyle="1" w:styleId="82">
    <w:name w:val="日期 Char"/>
    <w:link w:val="29"/>
    <w:autoRedefine/>
    <w:qFormat/>
    <w:locked/>
    <w:uiPriority w:val="0"/>
    <w:rPr>
      <w:rFonts w:eastAsia="EYInterstate Light"/>
      <w:kern w:val="2"/>
      <w:sz w:val="21"/>
      <w:lang w:val="en-US" w:eastAsia="zh-CN" w:bidi="ar-SA"/>
    </w:rPr>
  </w:style>
  <w:style w:type="character" w:customStyle="1" w:styleId="83">
    <w:name w:val="Char Char191"/>
    <w:autoRedefine/>
    <w:qFormat/>
    <w:uiPriority w:val="0"/>
    <w:rPr>
      <w:rFonts w:ascii="Verdana" w:hAnsi="Verdana" w:eastAsia="华文细黑"/>
      <w:sz w:val="21"/>
      <w:szCs w:val="21"/>
    </w:rPr>
  </w:style>
  <w:style w:type="character" w:customStyle="1" w:styleId="84">
    <w:name w:val="L1 Heading 8 Char Char"/>
    <w:autoRedefine/>
    <w:qFormat/>
    <w:uiPriority w:val="0"/>
    <w:rPr>
      <w:rFonts w:ascii="Verdana" w:hAnsi="Verdana" w:eastAsia="华文细黑"/>
      <w:kern w:val="2"/>
      <w:sz w:val="24"/>
      <w:lang w:val="en-US" w:eastAsia="zh-CN" w:bidi="ar-SA"/>
    </w:rPr>
  </w:style>
  <w:style w:type="character" w:customStyle="1" w:styleId="85">
    <w:name w:val="标题 Char1"/>
    <w:autoRedefine/>
    <w:qFormat/>
    <w:uiPriority w:val="0"/>
    <w:rPr>
      <w:rFonts w:ascii="Times New Roman" w:hAnsi="Times New Roman" w:eastAsia="宋体" w:cs="Times New Roman"/>
      <w:b/>
      <w:kern w:val="0"/>
      <w:sz w:val="24"/>
      <w:szCs w:val="20"/>
      <w:lang w:val="en-GB"/>
    </w:rPr>
  </w:style>
  <w:style w:type="character" w:customStyle="1" w:styleId="86">
    <w:name w:val="标题 字符1"/>
    <w:autoRedefine/>
    <w:qFormat/>
    <w:uiPriority w:val="10"/>
    <w:rPr>
      <w:rFonts w:ascii="等线" w:hAnsi="等线" w:eastAsia="EYInterstate Light" w:cs="Tahoma"/>
      <w:b/>
      <w:bCs/>
      <w:sz w:val="32"/>
      <w:szCs w:val="32"/>
    </w:rPr>
  </w:style>
  <w:style w:type="character" w:customStyle="1" w:styleId="87">
    <w:name w:val="L1 Heading 7 Char Char"/>
    <w:autoRedefine/>
    <w:qFormat/>
    <w:uiPriority w:val="0"/>
    <w:rPr>
      <w:rFonts w:eastAsia="EYInterstate Light"/>
      <w:b/>
      <w:kern w:val="2"/>
      <w:sz w:val="24"/>
      <w:lang w:val="en-US" w:eastAsia="zh-CN" w:bidi="ar-SA"/>
    </w:rPr>
  </w:style>
  <w:style w:type="character" w:customStyle="1" w:styleId="88">
    <w:name w:val="Char Char26"/>
    <w:autoRedefine/>
    <w:qFormat/>
    <w:uiPriority w:val="0"/>
    <w:rPr>
      <w:rFonts w:ascii="Verdana" w:hAnsi="Verdana" w:eastAsia="华文细黑"/>
      <w:b/>
      <w:bCs/>
      <w:kern w:val="2"/>
      <w:sz w:val="32"/>
      <w:szCs w:val="32"/>
    </w:rPr>
  </w:style>
  <w:style w:type="character" w:customStyle="1" w:styleId="89">
    <w:name w:val="Char Char21"/>
    <w:autoRedefine/>
    <w:qFormat/>
    <w:uiPriority w:val="0"/>
    <w:rPr>
      <w:b/>
      <w:bCs/>
      <w:sz w:val="24"/>
      <w:szCs w:val="24"/>
    </w:rPr>
  </w:style>
  <w:style w:type="character" w:customStyle="1" w:styleId="90">
    <w:name w:val="Char Char22"/>
    <w:autoRedefine/>
    <w:qFormat/>
    <w:uiPriority w:val="0"/>
    <w:rPr>
      <w:rFonts w:ascii="Verdana" w:hAnsi="Verdana" w:eastAsia="华文细黑"/>
      <w:b/>
      <w:bCs/>
      <w:sz w:val="24"/>
      <w:szCs w:val="24"/>
    </w:rPr>
  </w:style>
  <w:style w:type="character" w:customStyle="1" w:styleId="91">
    <w:name w:val="页眉 Char1"/>
    <w:link w:val="33"/>
    <w:autoRedefine/>
    <w:qFormat/>
    <w:uiPriority w:val="99"/>
    <w:rPr>
      <w:kern w:val="2"/>
      <w:sz w:val="18"/>
      <w:szCs w:val="18"/>
      <w:lang w:bidi="ar-SA"/>
    </w:rPr>
  </w:style>
  <w:style w:type="character" w:customStyle="1" w:styleId="92">
    <w:name w:val="L1 Heading 9 Char Char"/>
    <w:autoRedefine/>
    <w:qFormat/>
    <w:uiPriority w:val="0"/>
    <w:rPr>
      <w:rFonts w:ascii="Verdana" w:hAnsi="Verdana" w:eastAsia="华文细黑"/>
      <w:kern w:val="2"/>
      <w:sz w:val="21"/>
      <w:lang w:val="en-US" w:eastAsia="zh-CN" w:bidi="ar-SA"/>
    </w:rPr>
  </w:style>
  <w:style w:type="character" w:customStyle="1" w:styleId="93">
    <w:name w:val="标题 2 Char1"/>
    <w:link w:val="6"/>
    <w:autoRedefine/>
    <w:qFormat/>
    <w:uiPriority w:val="0"/>
    <w:rPr>
      <w:rFonts w:ascii="Verdana" w:hAnsi="Verdana" w:eastAsia="宋体"/>
      <w:b/>
      <w:bCs/>
      <w:kern w:val="2"/>
      <w:sz w:val="32"/>
      <w:szCs w:val="32"/>
      <w:lang w:bidi="ar-SA"/>
    </w:rPr>
  </w:style>
  <w:style w:type="character" w:customStyle="1" w:styleId="94">
    <w:name w:val="页眉 Char"/>
    <w:autoRedefine/>
    <w:qFormat/>
    <w:uiPriority w:val="0"/>
    <w:rPr>
      <w:rFonts w:ascii="楷体_GB2312" w:hAnsi="楷体_GB2312"/>
      <w:kern w:val="2"/>
      <w:sz w:val="18"/>
      <w:szCs w:val="18"/>
    </w:rPr>
  </w:style>
  <w:style w:type="character" w:customStyle="1" w:styleId="95">
    <w:name w:val="Char Char25"/>
    <w:autoRedefine/>
    <w:qFormat/>
    <w:uiPriority w:val="0"/>
    <w:rPr>
      <w:rFonts w:eastAsia="华文细黑"/>
      <w:b/>
      <w:bCs/>
      <w:snapToGrid w:val="0"/>
      <w:kern w:val="44"/>
      <w:sz w:val="36"/>
      <w:szCs w:val="44"/>
      <w:lang w:val="en-US" w:eastAsia="zh-CN" w:bidi="ar-SA"/>
    </w:rPr>
  </w:style>
  <w:style w:type="character" w:customStyle="1" w:styleId="96">
    <w:name w:val="标题 1 Char"/>
    <w:autoRedefine/>
    <w:qFormat/>
    <w:uiPriority w:val="9"/>
    <w:rPr>
      <w:rFonts w:eastAsia="华文细黑"/>
      <w:b/>
      <w:bCs/>
      <w:snapToGrid w:val="0"/>
      <w:kern w:val="44"/>
      <w:sz w:val="36"/>
      <w:szCs w:val="44"/>
      <w:lang w:val="en-US" w:eastAsia="zh-CN" w:bidi="ar-SA"/>
    </w:rPr>
  </w:style>
  <w:style w:type="character" w:customStyle="1" w:styleId="97">
    <w:name w:val="标题 3 Char"/>
    <w:link w:val="7"/>
    <w:autoRedefine/>
    <w:qFormat/>
    <w:uiPriority w:val="9"/>
    <w:rPr>
      <w:rFonts w:ascii="华文细黑" w:eastAsia="华文细黑"/>
      <w:sz w:val="28"/>
      <w:lang w:bidi="ar-SA"/>
    </w:rPr>
  </w:style>
  <w:style w:type="character" w:customStyle="1" w:styleId="98">
    <w:name w:val="正文文本 Char"/>
    <w:link w:val="2"/>
    <w:autoRedefine/>
    <w:qFormat/>
    <w:locked/>
    <w:uiPriority w:val="99"/>
    <w:rPr>
      <w:rFonts w:eastAsia="EYInterstate Light"/>
      <w:kern w:val="2"/>
      <w:sz w:val="28"/>
      <w:lang w:val="en-US" w:eastAsia="zh-CN" w:bidi="ar-SA"/>
    </w:rPr>
  </w:style>
  <w:style w:type="character" w:customStyle="1" w:styleId="99">
    <w:name w:val="Char Char23"/>
    <w:autoRedefine/>
    <w:qFormat/>
    <w:uiPriority w:val="0"/>
    <w:rPr>
      <w:b/>
      <w:bCs/>
      <w:kern w:val="2"/>
      <w:sz w:val="28"/>
      <w:szCs w:val="28"/>
    </w:rPr>
  </w:style>
  <w:style w:type="character" w:customStyle="1" w:styleId="100">
    <w:name w:val="标题 Char"/>
    <w:link w:val="46"/>
    <w:autoRedefine/>
    <w:qFormat/>
    <w:uiPriority w:val="0"/>
    <w:rPr>
      <w:rFonts w:ascii="等线" w:hAnsi="等线"/>
      <w:b/>
      <w:bCs/>
      <w:kern w:val="2"/>
      <w:sz w:val="32"/>
      <w:szCs w:val="32"/>
    </w:rPr>
  </w:style>
  <w:style w:type="character" w:customStyle="1" w:styleId="101">
    <w:name w:val="批注文字 Char"/>
    <w:autoRedefine/>
    <w:qFormat/>
    <w:uiPriority w:val="0"/>
    <w:rPr>
      <w:rFonts w:ascii="楷体_GB2312" w:hAnsi="楷体_GB2312"/>
      <w:kern w:val="2"/>
      <w:sz w:val="21"/>
      <w:szCs w:val="24"/>
    </w:rPr>
  </w:style>
  <w:style w:type="character" w:customStyle="1" w:styleId="102">
    <w:name w:val="纯文本 Char1"/>
    <w:autoRedefine/>
    <w:semiHidden/>
    <w:qFormat/>
    <w:uiPriority w:val="99"/>
    <w:rPr>
      <w:rFonts w:ascii="EYInterstate Light" w:hAnsi="中圆体" w:eastAsia="EYInterstate Light" w:cs="中圆体"/>
      <w:kern w:val="0"/>
      <w:szCs w:val="21"/>
    </w:rPr>
  </w:style>
  <w:style w:type="character" w:customStyle="1" w:styleId="103">
    <w:name w:val="newsitemtext1"/>
    <w:autoRedefine/>
    <w:qFormat/>
    <w:uiPriority w:val="0"/>
    <w:rPr>
      <w:color w:val="000000"/>
      <w:sz w:val="21"/>
      <w:szCs w:val="21"/>
    </w:rPr>
  </w:style>
  <w:style w:type="character" w:customStyle="1" w:styleId="104">
    <w:name w:val="样式 标题 5. (1.)L1 Heading 5h5h51h52h511h53h512h54h513h5... Char Char Char Char Char Char Char Char Char Char Char Char Char Char Char Char Char Char Char Char Char Char Char Char Char Char Char Char Char Char Char Char"/>
    <w:autoRedefine/>
    <w:qFormat/>
    <w:uiPriority w:val="0"/>
    <w:rPr>
      <w:rFonts w:eastAsia="EYInterstate Light"/>
      <w:b/>
      <w:bCs/>
      <w:snapToGrid w:val="0"/>
      <w:kern w:val="2"/>
      <w:sz w:val="24"/>
      <w:szCs w:val="24"/>
      <w:lang w:val="en-US" w:eastAsia="zh-CN" w:bidi="ar-SA"/>
    </w:rPr>
  </w:style>
  <w:style w:type="character" w:customStyle="1" w:styleId="105">
    <w:name w:val="Bullet copy Char"/>
    <w:link w:val="106"/>
    <w:autoRedefine/>
    <w:qFormat/>
    <w:uiPriority w:val="0"/>
    <w:rPr>
      <w:rFonts w:ascii="@楷体" w:hAnsi="@楷体" w:eastAsia="华文细黑" w:cs="@楷体"/>
      <w:sz w:val="18"/>
      <w:szCs w:val="18"/>
      <w:lang w:eastAsia="en-US"/>
    </w:rPr>
  </w:style>
  <w:style w:type="paragraph" w:customStyle="1" w:styleId="106">
    <w:name w:val="Bullet copy"/>
    <w:basedOn w:val="1"/>
    <w:link w:val="105"/>
    <w:autoRedefine/>
    <w:qFormat/>
    <w:uiPriority w:val="0"/>
    <w:pPr>
      <w:widowControl/>
      <w:spacing w:after="240" w:line="240" w:lineRule="exact"/>
      <w:jc w:val="left"/>
    </w:pPr>
    <w:rPr>
      <w:rFonts w:ascii="@楷体" w:hAnsi="@楷体" w:eastAsia="华文细黑" w:cs="Times New Roman"/>
      <w:kern w:val="0"/>
      <w:sz w:val="18"/>
      <w:szCs w:val="18"/>
      <w:lang w:val="zh-CN" w:eastAsia="en-US"/>
    </w:rPr>
  </w:style>
  <w:style w:type="character" w:customStyle="1" w:styleId="107">
    <w:name w:val="htd01"/>
    <w:basedOn w:val="50"/>
    <w:autoRedefine/>
    <w:qFormat/>
    <w:uiPriority w:val="0"/>
  </w:style>
  <w:style w:type="character" w:customStyle="1" w:styleId="108">
    <w:name w:val="正文文本缩进 3 Char"/>
    <w:link w:val="40"/>
    <w:autoRedefine/>
    <w:qFormat/>
    <w:uiPriority w:val="0"/>
    <w:rPr>
      <w:kern w:val="2"/>
      <w:sz w:val="24"/>
    </w:rPr>
  </w:style>
  <w:style w:type="character" w:customStyle="1" w:styleId="109">
    <w:name w:val="Char Char201"/>
    <w:autoRedefine/>
    <w:qFormat/>
    <w:uiPriority w:val="0"/>
    <w:rPr>
      <w:rFonts w:ascii="Verdana" w:hAnsi="Verdana" w:eastAsia="华文细黑"/>
      <w:sz w:val="24"/>
      <w:szCs w:val="24"/>
    </w:rPr>
  </w:style>
  <w:style w:type="character" w:customStyle="1" w:styleId="110">
    <w:name w:val="纯文本 Char2"/>
    <w:link w:val="27"/>
    <w:autoRedefine/>
    <w:qFormat/>
    <w:uiPriority w:val="0"/>
    <w:rPr>
      <w:rFonts w:ascii="EYInterstate Light" w:hAnsi="中圆体"/>
      <w:kern w:val="2"/>
      <w:sz w:val="21"/>
      <w:lang w:bidi="ar-SA"/>
    </w:rPr>
  </w:style>
  <w:style w:type="character" w:customStyle="1" w:styleId="111">
    <w:name w:val="批注文字 Char1"/>
    <w:autoRedefine/>
    <w:qFormat/>
    <w:uiPriority w:val="0"/>
    <w:rPr>
      <w:kern w:val="2"/>
      <w:sz w:val="21"/>
      <w:szCs w:val="24"/>
    </w:rPr>
  </w:style>
  <w:style w:type="character" w:customStyle="1" w:styleId="112">
    <w:name w:val="脚注文本 Char"/>
    <w:link w:val="38"/>
    <w:autoRedefine/>
    <w:qFormat/>
    <w:uiPriority w:val="0"/>
    <w:rPr>
      <w:kern w:val="2"/>
    </w:rPr>
  </w:style>
  <w:style w:type="character" w:customStyle="1" w:styleId="113">
    <w:name w:val="标题 8 Char"/>
    <w:link w:val="13"/>
    <w:autoRedefine/>
    <w:qFormat/>
    <w:uiPriority w:val="0"/>
    <w:rPr>
      <w:rFonts w:ascii="Verdana" w:hAnsi="Verdana" w:eastAsia="华文细黑"/>
      <w:kern w:val="2"/>
      <w:sz w:val="24"/>
      <w:szCs w:val="24"/>
      <w:lang w:bidi="ar-SA"/>
    </w:rPr>
  </w:style>
  <w:style w:type="character" w:customStyle="1" w:styleId="114">
    <w:name w:val="Char Char27"/>
    <w:autoRedefine/>
    <w:qFormat/>
    <w:uiPriority w:val="0"/>
    <w:rPr>
      <w:b/>
      <w:bCs/>
      <w:kern w:val="44"/>
      <w:sz w:val="44"/>
      <w:szCs w:val="44"/>
    </w:rPr>
  </w:style>
  <w:style w:type="character" w:customStyle="1" w:styleId="115">
    <w:name w:val="文档结构图 Char Char"/>
    <w:link w:val="116"/>
    <w:autoRedefine/>
    <w:qFormat/>
    <w:uiPriority w:val="0"/>
    <w:rPr>
      <w:rFonts w:ascii="EYInterstate Light"/>
      <w:kern w:val="2"/>
      <w:sz w:val="18"/>
      <w:szCs w:val="18"/>
      <w:lang w:bidi="ar-SA"/>
    </w:rPr>
  </w:style>
  <w:style w:type="paragraph" w:customStyle="1" w:styleId="116">
    <w:name w:val="文档结构图1"/>
    <w:basedOn w:val="1"/>
    <w:link w:val="115"/>
    <w:autoRedefine/>
    <w:qFormat/>
    <w:uiPriority w:val="0"/>
    <w:rPr>
      <w:rFonts w:ascii="EYInterstate Light"/>
      <w:sz w:val="18"/>
      <w:szCs w:val="18"/>
      <w:lang w:val="zh-CN"/>
    </w:rPr>
  </w:style>
  <w:style w:type="character" w:customStyle="1" w:styleId="117">
    <w:name w:val="个人答复风格"/>
    <w:autoRedefine/>
    <w:qFormat/>
    <w:uiPriority w:val="0"/>
    <w:rPr>
      <w:rFonts w:ascii="Verdana" w:hAnsi="Verdana" w:eastAsia="EYInterstate Light" w:cs="Verdana"/>
      <w:color w:val="auto"/>
      <w:sz w:val="20"/>
    </w:rPr>
  </w:style>
  <w:style w:type="character" w:customStyle="1" w:styleId="118">
    <w:name w:val="内文 Char"/>
    <w:link w:val="119"/>
    <w:autoRedefine/>
    <w:qFormat/>
    <w:uiPriority w:val="0"/>
    <w:rPr>
      <w:rFonts w:ascii="Verdana" w:hAnsi="Verdana"/>
      <w:kern w:val="2"/>
      <w:sz w:val="21"/>
      <w:lang w:val="en-US" w:eastAsia="zh-CN" w:bidi="ar-SA"/>
    </w:rPr>
  </w:style>
  <w:style w:type="paragraph" w:customStyle="1" w:styleId="119">
    <w:name w:val="内文"/>
    <w:link w:val="118"/>
    <w:autoRedefine/>
    <w:qFormat/>
    <w:uiPriority w:val="0"/>
    <w:pPr>
      <w:adjustRightInd w:val="0"/>
      <w:snapToGrid w:val="0"/>
      <w:spacing w:line="400" w:lineRule="exact"/>
      <w:ind w:firstLine="200" w:firstLineChars="200"/>
      <w:jc w:val="both"/>
    </w:pPr>
    <w:rPr>
      <w:rFonts w:ascii="Verdana" w:hAnsi="Verdana" w:eastAsia="EYInterstate Light" w:cs="Tahoma"/>
      <w:kern w:val="2"/>
      <w:sz w:val="21"/>
      <w:lang w:val="en-US" w:eastAsia="zh-CN" w:bidi="ar-SA"/>
    </w:rPr>
  </w:style>
  <w:style w:type="character" w:customStyle="1" w:styleId="120">
    <w:name w:val="个人撰写风格"/>
    <w:autoRedefine/>
    <w:qFormat/>
    <w:uiPriority w:val="0"/>
    <w:rPr>
      <w:rFonts w:ascii="Verdana" w:hAnsi="Verdana" w:eastAsia="EYInterstate Light" w:cs="Verdana"/>
      <w:color w:val="auto"/>
      <w:sz w:val="20"/>
    </w:rPr>
  </w:style>
  <w:style w:type="character" w:customStyle="1" w:styleId="121">
    <w:name w:val="批注文字 Char2"/>
    <w:link w:val="17"/>
    <w:autoRedefine/>
    <w:qFormat/>
    <w:uiPriority w:val="99"/>
    <w:rPr>
      <w:rFonts w:eastAsia="EYInterstate Light"/>
      <w:kern w:val="2"/>
      <w:sz w:val="21"/>
      <w:szCs w:val="24"/>
      <w:lang w:val="en-US" w:eastAsia="zh-CN" w:bidi="ar-SA"/>
    </w:rPr>
  </w:style>
  <w:style w:type="character" w:customStyle="1" w:styleId="122">
    <w:name w:val="正文2 Char"/>
    <w:link w:val="123"/>
    <w:autoRedefine/>
    <w:qFormat/>
    <w:uiPriority w:val="0"/>
    <w:rPr>
      <w:kern w:val="2"/>
      <w:sz w:val="24"/>
    </w:rPr>
  </w:style>
  <w:style w:type="paragraph" w:customStyle="1" w:styleId="123">
    <w:name w:val="正文2"/>
    <w:basedOn w:val="1"/>
    <w:link w:val="122"/>
    <w:autoRedefine/>
    <w:qFormat/>
    <w:uiPriority w:val="0"/>
    <w:pPr>
      <w:spacing w:before="156" w:line="360" w:lineRule="auto"/>
      <w:ind w:firstLine="510" w:firstLineChars="200"/>
    </w:pPr>
    <w:rPr>
      <w:rFonts w:cs="Times New Roman"/>
      <w:sz w:val="24"/>
      <w:szCs w:val="20"/>
      <w:lang w:val="zh-CN"/>
    </w:rPr>
  </w:style>
  <w:style w:type="character" w:customStyle="1" w:styleId="124">
    <w:name w:val="标题4 Char Char"/>
    <w:autoRedefine/>
    <w:qFormat/>
    <w:locked/>
    <w:uiPriority w:val="0"/>
    <w:rPr>
      <w:rFonts w:ascii="Verdana" w:hAnsi="Verdana"/>
      <w:b/>
      <w:sz w:val="32"/>
      <w:lang w:bidi="ar-SA"/>
    </w:rPr>
  </w:style>
  <w:style w:type="character" w:customStyle="1" w:styleId="125">
    <w:name w:val="副标题 Char1"/>
    <w:autoRedefine/>
    <w:qFormat/>
    <w:uiPriority w:val="0"/>
    <w:rPr>
      <w:rFonts w:ascii="等线" w:hAnsi="等线" w:cs="Tahoma"/>
      <w:b/>
      <w:bCs/>
      <w:kern w:val="28"/>
      <w:sz w:val="32"/>
      <w:szCs w:val="32"/>
    </w:rPr>
  </w:style>
  <w:style w:type="character" w:customStyle="1" w:styleId="126">
    <w:name w:val="纯文本 Char"/>
    <w:autoRedefine/>
    <w:qFormat/>
    <w:uiPriority w:val="0"/>
    <w:rPr>
      <w:rFonts w:ascii="EYInterstate Light" w:hAnsi="中圆体" w:eastAsia="EYInterstate Light" w:cs="中圆体"/>
      <w:snapToGrid w:val="0"/>
      <w:sz w:val="18"/>
      <w:szCs w:val="21"/>
      <w:lang w:val="en-US" w:eastAsia="zh-CN" w:bidi="ar-SA"/>
    </w:rPr>
  </w:style>
  <w:style w:type="character" w:customStyle="1" w:styleId="127">
    <w:name w:val="Intense Quote Char"/>
    <w:link w:val="128"/>
    <w:autoRedefine/>
    <w:qFormat/>
    <w:locked/>
    <w:uiPriority w:val="0"/>
    <w:rPr>
      <w:b/>
      <w:i/>
      <w:color w:val="4F81BD"/>
      <w:kern w:val="2"/>
      <w:sz w:val="22"/>
      <w:lang w:bidi="ar-SA"/>
    </w:rPr>
  </w:style>
  <w:style w:type="paragraph" w:customStyle="1" w:styleId="128">
    <w:name w:val="明显引用1"/>
    <w:basedOn w:val="1"/>
    <w:next w:val="1"/>
    <w:link w:val="127"/>
    <w:autoRedefine/>
    <w:qFormat/>
    <w:uiPriority w:val="0"/>
    <w:pPr>
      <w:pBdr>
        <w:bottom w:val="single" w:color="4F81BD" w:sz="4" w:space="4"/>
      </w:pBdr>
      <w:spacing w:before="200" w:after="280"/>
      <w:ind w:left="936" w:right="936"/>
    </w:pPr>
    <w:rPr>
      <w:b/>
      <w:i/>
      <w:color w:val="4F81BD"/>
      <w:sz w:val="22"/>
      <w:szCs w:val="20"/>
      <w:lang w:val="zh-CN"/>
    </w:rPr>
  </w:style>
  <w:style w:type="character" w:customStyle="1" w:styleId="129">
    <w:name w:val="标题 5 Char"/>
    <w:link w:val="10"/>
    <w:autoRedefine/>
    <w:qFormat/>
    <w:locked/>
    <w:uiPriority w:val="0"/>
    <w:rPr>
      <w:rFonts w:eastAsia="EYInterstate Light"/>
      <w:b/>
      <w:bCs/>
      <w:kern w:val="2"/>
      <w:sz w:val="28"/>
      <w:szCs w:val="28"/>
      <w:lang w:val="en-US" w:eastAsia="zh-CN" w:bidi="ar-SA"/>
    </w:rPr>
  </w:style>
  <w:style w:type="character" w:customStyle="1" w:styleId="130">
    <w:name w:val="正文文本_0 Char"/>
    <w:link w:val="131"/>
    <w:autoRedefine/>
    <w:qFormat/>
    <w:uiPriority w:val="0"/>
    <w:rPr>
      <w:rFonts w:ascii="楷体_GB2312" w:hAnsi="楷体_GB2312"/>
      <w:kern w:val="0"/>
      <w:sz w:val="20"/>
      <w:szCs w:val="20"/>
    </w:rPr>
  </w:style>
  <w:style w:type="paragraph" w:customStyle="1" w:styleId="131">
    <w:name w:val="正文文本_0"/>
    <w:basedOn w:val="132"/>
    <w:link w:val="130"/>
    <w:autoRedefine/>
    <w:qFormat/>
    <w:uiPriority w:val="0"/>
    <w:pPr>
      <w:adjustRightInd w:val="0"/>
      <w:spacing w:after="60" w:line="360" w:lineRule="atLeast"/>
      <w:ind w:left="72" w:leftChars="30" w:right="30" w:rightChars="30"/>
      <w:jc w:val="center"/>
    </w:pPr>
    <w:rPr>
      <w:rFonts w:ascii="楷体_GB2312" w:hAnsi="楷体_GB2312" w:cs="Times New Roman"/>
      <w:kern w:val="0"/>
      <w:sz w:val="20"/>
      <w:szCs w:val="20"/>
      <w:lang w:val="zh-CN"/>
    </w:rPr>
  </w:style>
  <w:style w:type="paragraph" w:customStyle="1" w:styleId="132">
    <w:name w:val="正文_7_0"/>
    <w:autoRedefine/>
    <w:qFormat/>
    <w:uiPriority w:val="0"/>
    <w:pPr>
      <w:widowControl w:val="0"/>
      <w:jc w:val="both"/>
    </w:pPr>
    <w:rPr>
      <w:rFonts w:ascii="Tahoma" w:hAnsi="Tahoma" w:eastAsia="EYInterstate Light" w:cs="Tahoma"/>
      <w:kern w:val="2"/>
      <w:sz w:val="21"/>
      <w:szCs w:val="22"/>
      <w:lang w:val="en-US" w:eastAsia="zh-CN" w:bidi="ar-SA"/>
    </w:rPr>
  </w:style>
  <w:style w:type="character" w:customStyle="1" w:styleId="133">
    <w:name w:val="font161"/>
    <w:autoRedefine/>
    <w:qFormat/>
    <w:uiPriority w:val="0"/>
    <w:rPr>
      <w:b/>
      <w:bCs/>
      <w:sz w:val="32"/>
      <w:szCs w:val="32"/>
    </w:rPr>
  </w:style>
  <w:style w:type="character" w:customStyle="1" w:styleId="134">
    <w:name w:val="Char Char261"/>
    <w:autoRedefine/>
    <w:qFormat/>
    <w:uiPriority w:val="0"/>
    <w:rPr>
      <w:rFonts w:ascii="Verdana" w:hAnsi="Verdana" w:eastAsia="华文细黑"/>
      <w:b/>
      <w:bCs/>
      <w:kern w:val="2"/>
      <w:sz w:val="32"/>
      <w:szCs w:val="32"/>
    </w:rPr>
  </w:style>
  <w:style w:type="character" w:customStyle="1" w:styleId="135">
    <w:name w:val="正文首行缩进 2 Char"/>
    <w:link w:val="21"/>
    <w:autoRedefine/>
    <w:qFormat/>
    <w:uiPriority w:val="0"/>
    <w:rPr>
      <w:rFonts w:ascii="Cambria Math" w:eastAsia="Cambria Math" w:cs="楷体_GB2312"/>
      <w:sz w:val="22"/>
      <w:szCs w:val="22"/>
      <w:lang w:eastAsia="en-US"/>
    </w:rPr>
  </w:style>
  <w:style w:type="character" w:customStyle="1" w:styleId="136">
    <w:name w:val="Quote Char"/>
    <w:link w:val="137"/>
    <w:autoRedefine/>
    <w:qFormat/>
    <w:locked/>
    <w:uiPriority w:val="0"/>
    <w:rPr>
      <w:i/>
      <w:color w:val="000000"/>
      <w:kern w:val="2"/>
      <w:sz w:val="22"/>
      <w:lang w:bidi="ar-SA"/>
    </w:rPr>
  </w:style>
  <w:style w:type="paragraph" w:customStyle="1" w:styleId="137">
    <w:name w:val="引用1"/>
    <w:basedOn w:val="1"/>
    <w:next w:val="1"/>
    <w:link w:val="136"/>
    <w:autoRedefine/>
    <w:qFormat/>
    <w:uiPriority w:val="0"/>
    <w:rPr>
      <w:i/>
      <w:color w:val="000000"/>
      <w:sz w:val="22"/>
      <w:szCs w:val="20"/>
      <w:lang w:val="zh-CN"/>
    </w:rPr>
  </w:style>
  <w:style w:type="character" w:customStyle="1" w:styleId="138">
    <w:name w:val="正文缩进 Char"/>
    <w:link w:val="8"/>
    <w:autoRedefine/>
    <w:qFormat/>
    <w:uiPriority w:val="0"/>
    <w:rPr>
      <w:rFonts w:ascii="Cambria Math" w:eastAsia="Cambria Math"/>
      <w:sz w:val="28"/>
      <w:lang w:val="en-US" w:eastAsia="zh-CN" w:bidi="ar-SA"/>
    </w:rPr>
  </w:style>
  <w:style w:type="character" w:customStyle="1" w:styleId="139">
    <w:name w:val="标题 2 Char"/>
    <w:autoRedefine/>
    <w:qFormat/>
    <w:uiPriority w:val="9"/>
    <w:rPr>
      <w:rFonts w:ascii="Verdana" w:hAnsi="Verdana" w:eastAsia="华文细黑"/>
      <w:snapToGrid w:val="0"/>
      <w:sz w:val="28"/>
      <w:szCs w:val="32"/>
      <w:lang w:val="en-US" w:eastAsia="zh-CN" w:bidi="ar-SA"/>
    </w:rPr>
  </w:style>
  <w:style w:type="character" w:customStyle="1" w:styleId="140">
    <w:name w:val="15"/>
    <w:autoRedefine/>
    <w:qFormat/>
    <w:uiPriority w:val="0"/>
    <w:rPr>
      <w:rFonts w:hint="default" w:ascii="楷体_GB2312" w:hAnsi="楷体_GB2312"/>
      <w:sz w:val="20"/>
      <w:szCs w:val="20"/>
    </w:rPr>
  </w:style>
  <w:style w:type="character" w:customStyle="1" w:styleId="141">
    <w:name w:val="apple-converted-space"/>
    <w:autoRedefine/>
    <w:qFormat/>
    <w:uiPriority w:val="0"/>
  </w:style>
  <w:style w:type="character" w:customStyle="1" w:styleId="142">
    <w:name w:val="正文文本缩进 2 Char"/>
    <w:link w:val="30"/>
    <w:autoRedefine/>
    <w:qFormat/>
    <w:uiPriority w:val="0"/>
    <w:rPr>
      <w:rFonts w:ascii="等线 Light" w:hAnsi="EYInterstate Light" w:eastAsia="等线 Light"/>
      <w:kern w:val="2"/>
      <w:sz w:val="24"/>
      <w:szCs w:val="24"/>
    </w:rPr>
  </w:style>
  <w:style w:type="character" w:customStyle="1" w:styleId="143">
    <w:name w:val="Char Char221"/>
    <w:autoRedefine/>
    <w:qFormat/>
    <w:uiPriority w:val="0"/>
    <w:rPr>
      <w:rFonts w:ascii="Verdana" w:hAnsi="Verdana" w:eastAsia="华文细黑"/>
      <w:b/>
      <w:bCs/>
      <w:sz w:val="24"/>
      <w:szCs w:val="24"/>
    </w:rPr>
  </w:style>
  <w:style w:type="character" w:customStyle="1" w:styleId="144">
    <w:name w:val="L1 Heading 6 Char Char"/>
    <w:autoRedefine/>
    <w:qFormat/>
    <w:uiPriority w:val="0"/>
    <w:rPr>
      <w:rFonts w:ascii="Verdana" w:hAnsi="Verdana" w:eastAsia="华文细黑"/>
      <w:b/>
      <w:kern w:val="2"/>
      <w:sz w:val="24"/>
      <w:lang w:val="en-US" w:eastAsia="zh-CN" w:bidi="ar-SA"/>
    </w:rPr>
  </w:style>
  <w:style w:type="character" w:customStyle="1" w:styleId="145">
    <w:name w:val="纯文本 Char Char Char Char Char Char Char Char Char Char"/>
    <w:autoRedefine/>
    <w:qFormat/>
    <w:uiPriority w:val="0"/>
    <w:rPr>
      <w:rFonts w:ascii="EYInterstate Light" w:hAnsi="中圆体" w:eastAsia="EYInterstate Light" w:cs="中圆体"/>
      <w:kern w:val="2"/>
      <w:sz w:val="21"/>
      <w:szCs w:val="21"/>
      <w:lang w:val="en-US" w:eastAsia="zh-CN" w:bidi="ar-SA"/>
    </w:rPr>
  </w:style>
  <w:style w:type="character" w:customStyle="1" w:styleId="146">
    <w:name w:val="Char Char181"/>
    <w:autoRedefine/>
    <w:qFormat/>
    <w:locked/>
    <w:uiPriority w:val="0"/>
    <w:rPr>
      <w:kern w:val="2"/>
      <w:sz w:val="18"/>
      <w:szCs w:val="18"/>
    </w:rPr>
  </w:style>
  <w:style w:type="character" w:customStyle="1" w:styleId="147">
    <w:name w:val="Char Char211"/>
    <w:autoRedefine/>
    <w:qFormat/>
    <w:uiPriority w:val="0"/>
    <w:rPr>
      <w:b/>
      <w:bCs/>
      <w:sz w:val="24"/>
      <w:szCs w:val="24"/>
    </w:rPr>
  </w:style>
  <w:style w:type="character" w:customStyle="1" w:styleId="148">
    <w:name w:val="正文文本 3 Char"/>
    <w:link w:val="19"/>
    <w:autoRedefine/>
    <w:qFormat/>
    <w:uiPriority w:val="0"/>
    <w:rPr>
      <w:kern w:val="2"/>
      <w:sz w:val="16"/>
      <w:szCs w:val="16"/>
      <w:lang w:bidi="ar-SA"/>
    </w:rPr>
  </w:style>
  <w:style w:type="character" w:customStyle="1" w:styleId="149">
    <w:name w:val="批注框文本 字符"/>
    <w:autoRedefine/>
    <w:semiHidden/>
    <w:qFormat/>
    <w:uiPriority w:val="99"/>
    <w:rPr>
      <w:kern w:val="2"/>
      <w:sz w:val="18"/>
      <w:szCs w:val="18"/>
    </w:rPr>
  </w:style>
  <w:style w:type="character" w:customStyle="1" w:styleId="150">
    <w:name w:val="标题5 Char Char"/>
    <w:link w:val="151"/>
    <w:autoRedefine/>
    <w:qFormat/>
    <w:locked/>
    <w:uiPriority w:val="0"/>
    <w:rPr>
      <w:rFonts w:ascii="Verdana" w:hAnsi="Verdana"/>
      <w:b/>
      <w:sz w:val="32"/>
      <w:lang w:bidi="ar-SA"/>
    </w:rPr>
  </w:style>
  <w:style w:type="paragraph" w:customStyle="1" w:styleId="151">
    <w:name w:val="标题5"/>
    <w:basedOn w:val="7"/>
    <w:link w:val="150"/>
    <w:autoRedefine/>
    <w:qFormat/>
    <w:uiPriority w:val="0"/>
    <w:pPr>
      <w:autoSpaceDE/>
      <w:autoSpaceDN/>
      <w:adjustRightInd/>
      <w:spacing w:before="260" w:after="260" w:line="413" w:lineRule="auto"/>
    </w:pPr>
    <w:rPr>
      <w:rFonts w:ascii="Verdana" w:hAnsi="Verdana" w:eastAsia="EYInterstate Light"/>
      <w:b/>
      <w:sz w:val="32"/>
    </w:rPr>
  </w:style>
  <w:style w:type="character" w:customStyle="1" w:styleId="152">
    <w:name w:val="批注主题 Char1"/>
    <w:link w:val="47"/>
    <w:autoRedefine/>
    <w:qFormat/>
    <w:uiPriority w:val="99"/>
    <w:rPr>
      <w:rFonts w:eastAsia="EYInterstate Light"/>
      <w:b/>
      <w:bCs/>
      <w:kern w:val="2"/>
      <w:sz w:val="21"/>
      <w:lang w:val="en-US" w:eastAsia="zh-CN" w:bidi="ar-SA"/>
    </w:rPr>
  </w:style>
  <w:style w:type="character" w:customStyle="1" w:styleId="153">
    <w:name w:val="Char Char251"/>
    <w:autoRedefine/>
    <w:qFormat/>
    <w:uiPriority w:val="0"/>
    <w:rPr>
      <w:rFonts w:eastAsia="华文细黑"/>
      <w:b/>
      <w:bCs/>
      <w:snapToGrid w:val="0"/>
      <w:kern w:val="44"/>
      <w:sz w:val="36"/>
      <w:szCs w:val="44"/>
      <w:lang w:val="en-US" w:eastAsia="zh-CN" w:bidi="ar-SA"/>
    </w:rPr>
  </w:style>
  <w:style w:type="character" w:customStyle="1" w:styleId="154">
    <w:name w:val="正文文本缩进 Char Char"/>
    <w:autoRedefine/>
    <w:qFormat/>
    <w:uiPriority w:val="0"/>
    <w:rPr>
      <w:rFonts w:ascii="Cambria Math" w:eastAsia="Cambria Math"/>
      <w:sz w:val="28"/>
    </w:rPr>
  </w:style>
  <w:style w:type="character" w:customStyle="1" w:styleId="155">
    <w:name w:val="Char Char231"/>
    <w:autoRedefine/>
    <w:qFormat/>
    <w:uiPriority w:val="0"/>
    <w:rPr>
      <w:b/>
      <w:bCs/>
      <w:kern w:val="2"/>
      <w:sz w:val="28"/>
      <w:szCs w:val="28"/>
    </w:rPr>
  </w:style>
  <w:style w:type="character" w:customStyle="1" w:styleId="156">
    <w:name w:val="bulletintext1"/>
    <w:autoRedefine/>
    <w:qFormat/>
    <w:uiPriority w:val="0"/>
    <w:rPr>
      <w:color w:val="000000"/>
      <w:sz w:val="18"/>
      <w:szCs w:val="18"/>
    </w:rPr>
  </w:style>
  <w:style w:type="character" w:customStyle="1" w:styleId="157">
    <w:name w:val="Char Char24"/>
    <w:autoRedefine/>
    <w:qFormat/>
    <w:uiPriority w:val="0"/>
    <w:rPr>
      <w:rFonts w:ascii="Verdana" w:hAnsi="Verdana" w:eastAsia="华文细黑"/>
      <w:snapToGrid w:val="0"/>
      <w:sz w:val="28"/>
      <w:szCs w:val="32"/>
      <w:lang w:val="en-US" w:eastAsia="zh-CN" w:bidi="ar-SA"/>
    </w:rPr>
  </w:style>
  <w:style w:type="character" w:customStyle="1" w:styleId="158">
    <w:name w:val="正文文本缩进 Char"/>
    <w:link w:val="20"/>
    <w:autoRedefine/>
    <w:qFormat/>
    <w:uiPriority w:val="0"/>
    <w:rPr>
      <w:rFonts w:ascii="Cambria Math" w:eastAsia="Cambria Math"/>
      <w:sz w:val="28"/>
    </w:rPr>
  </w:style>
  <w:style w:type="character" w:customStyle="1" w:styleId="159">
    <w:name w:val="Char Char11"/>
    <w:autoRedefine/>
    <w:qFormat/>
    <w:uiPriority w:val="0"/>
    <w:rPr>
      <w:rFonts w:ascii="Cambria Math" w:eastAsia="Cambria Math"/>
      <w:sz w:val="28"/>
    </w:rPr>
  </w:style>
  <w:style w:type="character" w:customStyle="1" w:styleId="160">
    <w:name w:val="Char Char241"/>
    <w:autoRedefine/>
    <w:qFormat/>
    <w:uiPriority w:val="0"/>
    <w:rPr>
      <w:rFonts w:ascii="Verdana" w:hAnsi="Verdana" w:eastAsia="华文细黑"/>
      <w:snapToGrid w:val="0"/>
      <w:sz w:val="28"/>
      <w:szCs w:val="32"/>
      <w:lang w:val="en-US" w:eastAsia="zh-CN" w:bidi="ar-SA"/>
    </w:rPr>
  </w:style>
  <w:style w:type="character" w:customStyle="1" w:styleId="161">
    <w:name w:val="htd0"/>
    <w:basedOn w:val="50"/>
    <w:autoRedefine/>
    <w:qFormat/>
    <w:uiPriority w:val="0"/>
  </w:style>
  <w:style w:type="character" w:customStyle="1" w:styleId="162">
    <w:name w:val="标题 Char Char"/>
    <w:autoRedefine/>
    <w:qFormat/>
    <w:uiPriority w:val="0"/>
    <w:rPr>
      <w:rFonts w:ascii="等线" w:hAnsi="等线" w:cs="Tahoma"/>
      <w:b/>
      <w:bCs/>
      <w:kern w:val="2"/>
      <w:sz w:val="32"/>
      <w:szCs w:val="32"/>
    </w:rPr>
  </w:style>
  <w:style w:type="character" w:customStyle="1" w:styleId="163">
    <w:name w:val="普通(网站) Char"/>
    <w:link w:val="45"/>
    <w:autoRedefine/>
    <w:qFormat/>
    <w:uiPriority w:val="0"/>
    <w:rPr>
      <w:rFonts w:ascii="楷体_GB2312" w:hAnsi="楷体_GB2312"/>
      <w:sz w:val="24"/>
      <w:szCs w:val="24"/>
    </w:rPr>
  </w:style>
  <w:style w:type="character" w:customStyle="1" w:styleId="164">
    <w:name w:val="Heading 2 Hidden Char1"/>
    <w:autoRedefine/>
    <w:qFormat/>
    <w:uiPriority w:val="0"/>
    <w:rPr>
      <w:rFonts w:ascii="Verdana" w:hAnsi="Verdana" w:eastAsia="华文细黑"/>
      <w:snapToGrid w:val="0"/>
      <w:sz w:val="28"/>
      <w:szCs w:val="32"/>
      <w:lang w:val="en-US" w:eastAsia="zh-CN" w:bidi="ar-SA"/>
    </w:rPr>
  </w:style>
  <w:style w:type="character" w:customStyle="1" w:styleId="165">
    <w:name w:val="批注文字 字符"/>
    <w:autoRedefine/>
    <w:qFormat/>
    <w:uiPriority w:val="0"/>
    <w:rPr>
      <w:rFonts w:eastAsia="EYInterstate Light"/>
      <w:kern w:val="2"/>
      <w:sz w:val="21"/>
      <w:szCs w:val="24"/>
      <w:lang w:val="en-US" w:eastAsia="zh-CN" w:bidi="ar-SA"/>
    </w:rPr>
  </w:style>
  <w:style w:type="character" w:customStyle="1" w:styleId="166">
    <w:name w:val="point_normal1"/>
    <w:autoRedefine/>
    <w:qFormat/>
    <w:uiPriority w:val="0"/>
    <w:rPr>
      <w:rFonts w:hint="default" w:ascii="Verdana" w:hAnsi="Verdana" w:cs="Verdana"/>
      <w:sz w:val="18"/>
      <w:szCs w:val="18"/>
    </w:rPr>
  </w:style>
  <w:style w:type="character" w:customStyle="1" w:styleId="167">
    <w:name w:val="标题 4 Char"/>
    <w:link w:val="9"/>
    <w:autoRedefine/>
    <w:qFormat/>
    <w:uiPriority w:val="0"/>
    <w:rPr>
      <w:rFonts w:eastAsia="EYInterstate Light"/>
      <w:kern w:val="2"/>
      <w:sz w:val="28"/>
      <w:lang w:bidi="ar-SA"/>
    </w:rPr>
  </w:style>
  <w:style w:type="character" w:customStyle="1" w:styleId="168">
    <w:name w:val="正文文本 2 Char"/>
    <w:link w:val="44"/>
    <w:autoRedefine/>
    <w:qFormat/>
    <w:uiPriority w:val="0"/>
    <w:rPr>
      <w:kern w:val="2"/>
      <w:sz w:val="24"/>
    </w:rPr>
  </w:style>
  <w:style w:type="character" w:customStyle="1" w:styleId="169">
    <w:name w:val="Char Char271"/>
    <w:autoRedefine/>
    <w:qFormat/>
    <w:uiPriority w:val="0"/>
    <w:rPr>
      <w:b/>
      <w:bCs/>
      <w:kern w:val="44"/>
      <w:sz w:val="44"/>
      <w:szCs w:val="44"/>
    </w:rPr>
  </w:style>
  <w:style w:type="character" w:customStyle="1" w:styleId="170">
    <w:name w:val="页码1"/>
    <w:autoRedefine/>
    <w:qFormat/>
    <w:uiPriority w:val="0"/>
    <w:rPr>
      <w:rFonts w:cs="Times New Roman"/>
    </w:rPr>
  </w:style>
  <w:style w:type="character" w:customStyle="1" w:styleId="171">
    <w:name w:val="标题 1 Char Char"/>
    <w:autoRedefine/>
    <w:qFormat/>
    <w:uiPriority w:val="0"/>
    <w:rPr>
      <w:rFonts w:ascii="华文细黑"/>
      <w:b/>
      <w:kern w:val="44"/>
      <w:sz w:val="32"/>
    </w:rPr>
  </w:style>
  <w:style w:type="character" w:customStyle="1" w:styleId="172">
    <w:name w:val="标题 7 Char"/>
    <w:link w:val="12"/>
    <w:autoRedefine/>
    <w:qFormat/>
    <w:uiPriority w:val="0"/>
    <w:rPr>
      <w:rFonts w:eastAsia="EYInterstate Light"/>
      <w:b/>
      <w:bCs/>
      <w:kern w:val="2"/>
      <w:sz w:val="24"/>
      <w:szCs w:val="24"/>
      <w:lang w:bidi="ar-SA"/>
    </w:rPr>
  </w:style>
  <w:style w:type="paragraph" w:customStyle="1" w:styleId="173">
    <w:name w:val="样式 标题 2 + Times New Roman 四号 非加粗 段前: 5 磅 段后: 0 磅 行距: 固定值 20..."/>
    <w:basedOn w:val="6"/>
    <w:autoRedefine/>
    <w:qFormat/>
    <w:uiPriority w:val="0"/>
    <w:pPr>
      <w:spacing w:before="100" w:after="0" w:line="400" w:lineRule="exact"/>
    </w:pPr>
    <w:rPr>
      <w:rFonts w:ascii="Tahoma" w:hAnsi="Tahoma" w:cs="EYInterstate Light"/>
      <w:b w:val="0"/>
      <w:bCs w:val="0"/>
      <w:sz w:val="28"/>
      <w:szCs w:val="20"/>
    </w:rPr>
  </w:style>
  <w:style w:type="paragraph" w:customStyle="1" w:styleId="174">
    <w:name w:val="Char Char1 Char Char Char Char Char Char"/>
    <w:basedOn w:val="1"/>
    <w:autoRedefine/>
    <w:qFormat/>
    <w:uiPriority w:val="0"/>
    <w:pPr>
      <w:widowControl/>
      <w:spacing w:after="160" w:line="240" w:lineRule="exact"/>
      <w:jc w:val="left"/>
    </w:pPr>
    <w:rPr>
      <w:rFonts w:ascii="EYInterstate Light" w:hAnsi="EYInterstate Light" w:cs="EYInterstate Light"/>
      <w:kern w:val="0"/>
      <w:szCs w:val="20"/>
    </w:rPr>
  </w:style>
  <w:style w:type="paragraph" w:customStyle="1" w:styleId="175">
    <w:name w:val="项目符号1 Char"/>
    <w:basedOn w:val="1"/>
    <w:next w:val="1"/>
    <w:autoRedefine/>
    <w:qFormat/>
    <w:uiPriority w:val="0"/>
    <w:pPr>
      <w:tabs>
        <w:tab w:val="left" w:pos="247"/>
        <w:tab w:val="left" w:pos="624"/>
      </w:tabs>
      <w:spacing w:line="360" w:lineRule="auto"/>
      <w:ind w:left="624" w:hanging="454"/>
    </w:pPr>
    <w:rPr>
      <w:sz w:val="24"/>
    </w:rPr>
  </w:style>
  <w:style w:type="paragraph" w:customStyle="1" w:styleId="176">
    <w:name w:val="xl3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177">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178">
    <w:name w:val="Char"/>
    <w:basedOn w:val="1"/>
    <w:autoRedefine/>
    <w:qFormat/>
    <w:uiPriority w:val="0"/>
  </w:style>
  <w:style w:type="paragraph" w:customStyle="1" w:styleId="179">
    <w:name w:val="Char Char1 Char Char Char Char Char Char1"/>
    <w:basedOn w:val="1"/>
    <w:autoRedefine/>
    <w:qFormat/>
    <w:uiPriority w:val="0"/>
    <w:pPr>
      <w:widowControl/>
      <w:spacing w:after="160" w:line="240" w:lineRule="exact"/>
      <w:jc w:val="left"/>
    </w:pPr>
    <w:rPr>
      <w:rFonts w:ascii="EYInterstate Light" w:hAnsi="EYInterstate Light" w:cs="EYInterstate Light"/>
      <w:kern w:val="0"/>
      <w:szCs w:val="20"/>
    </w:rPr>
  </w:style>
  <w:style w:type="paragraph" w:customStyle="1" w:styleId="180">
    <w:name w:val="正文1"/>
    <w:autoRedefine/>
    <w:qFormat/>
    <w:uiPriority w:val="0"/>
    <w:pPr>
      <w:widowControl w:val="0"/>
      <w:adjustRightInd w:val="0"/>
      <w:spacing w:line="312" w:lineRule="atLeast"/>
      <w:jc w:val="both"/>
      <w:textAlignment w:val="baseline"/>
    </w:pPr>
    <w:rPr>
      <w:rFonts w:ascii="EYInterstate Light" w:hAnsi="Tahoma" w:eastAsia="EYInterstate Light" w:cs="Tahoma"/>
      <w:sz w:val="34"/>
      <w:lang w:val="en-US" w:eastAsia="zh-CN" w:bidi="ar-SA"/>
    </w:rPr>
  </w:style>
  <w:style w:type="paragraph" w:customStyle="1" w:styleId="181">
    <w:name w:val="正文11"/>
    <w:basedOn w:val="1"/>
    <w:autoRedefine/>
    <w:qFormat/>
    <w:uiPriority w:val="0"/>
    <w:pPr>
      <w:widowControl/>
    </w:pPr>
    <w:rPr>
      <w:rFonts w:eastAsia="Tahoma"/>
      <w:kern w:val="0"/>
      <w:szCs w:val="20"/>
    </w:rPr>
  </w:style>
  <w:style w:type="paragraph" w:customStyle="1" w:styleId="182">
    <w:name w:val="内部地址"/>
    <w:basedOn w:val="1"/>
    <w:autoRedefine/>
    <w:qFormat/>
    <w:uiPriority w:val="0"/>
    <w:pPr>
      <w:widowControl/>
      <w:adjustRightInd w:val="0"/>
      <w:spacing w:line="160" w:lineRule="atLeast"/>
      <w:jc w:val="left"/>
      <w:textAlignment w:val="baseline"/>
    </w:pPr>
    <w:rPr>
      <w:rFonts w:ascii="Verdana" w:hAnsi="Verdana"/>
      <w:spacing w:val="-5"/>
      <w:kern w:val="0"/>
      <w:sz w:val="20"/>
      <w:szCs w:val="20"/>
    </w:rPr>
  </w:style>
  <w:style w:type="paragraph" w:customStyle="1" w:styleId="183">
    <w:name w:val="xl4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bCs/>
      <w:kern w:val="0"/>
      <w:sz w:val="24"/>
    </w:rPr>
  </w:style>
  <w:style w:type="paragraph" w:customStyle="1" w:styleId="184">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185">
    <w:name w:val="正文段"/>
    <w:basedOn w:val="1"/>
    <w:autoRedefine/>
    <w:qFormat/>
    <w:uiPriority w:val="0"/>
    <w:pPr>
      <w:widowControl/>
      <w:snapToGrid w:val="0"/>
      <w:spacing w:afterLines="50"/>
      <w:ind w:firstLine="200" w:firstLineChars="200"/>
    </w:pPr>
    <w:rPr>
      <w:kern w:val="0"/>
      <w:sz w:val="24"/>
      <w:szCs w:val="20"/>
    </w:rPr>
  </w:style>
  <w:style w:type="paragraph" w:customStyle="1" w:styleId="186">
    <w:name w:val="正文文本 21"/>
    <w:basedOn w:val="1"/>
    <w:autoRedefine/>
    <w:qFormat/>
    <w:uiPriority w:val="0"/>
    <w:pPr>
      <w:adjustRightInd w:val="0"/>
      <w:spacing w:line="300" w:lineRule="auto"/>
      <w:jc w:val="center"/>
    </w:pPr>
    <w:rPr>
      <w:rFonts w:hint="eastAsia" w:ascii="EYInterstate Light" w:hAnsi="EYInterstate Light"/>
      <w:snapToGrid w:val="0"/>
      <w:kern w:val="0"/>
      <w:sz w:val="24"/>
      <w:szCs w:val="20"/>
    </w:rPr>
  </w:style>
  <w:style w:type="paragraph" w:customStyle="1" w:styleId="187">
    <w:name w:val="xl34"/>
    <w:basedOn w:val="1"/>
    <w:autoRedefine/>
    <w:qFormat/>
    <w:uiPriority w:val="0"/>
    <w:pPr>
      <w:widowControl/>
      <w:spacing w:before="100" w:beforeAutospacing="1" w:after="100" w:afterAutospacing="1"/>
      <w:jc w:val="center"/>
    </w:pPr>
    <w:rPr>
      <w:rFonts w:ascii="EYInterstate Light" w:hAnsi="EYInterstate Light" w:cs="EYInterstate Light"/>
      <w:kern w:val="0"/>
      <w:sz w:val="18"/>
      <w:szCs w:val="18"/>
    </w:rPr>
  </w:style>
  <w:style w:type="paragraph" w:customStyle="1" w:styleId="188">
    <w:name w:val="正文文本 22"/>
    <w:basedOn w:val="1"/>
    <w:autoRedefine/>
    <w:qFormat/>
    <w:uiPriority w:val="0"/>
    <w:pPr>
      <w:adjustRightInd w:val="0"/>
      <w:spacing w:line="300" w:lineRule="auto"/>
      <w:jc w:val="center"/>
    </w:pPr>
    <w:rPr>
      <w:rFonts w:hint="eastAsia" w:ascii="EYInterstate Light" w:hAnsi="EYInterstate Light"/>
      <w:snapToGrid w:val="0"/>
      <w:kern w:val="0"/>
      <w:sz w:val="24"/>
      <w:szCs w:val="20"/>
    </w:rPr>
  </w:style>
  <w:style w:type="paragraph" w:customStyle="1" w:styleId="189">
    <w:name w:val="文档结构图11"/>
    <w:basedOn w:val="1"/>
    <w:autoRedefine/>
    <w:qFormat/>
    <w:uiPriority w:val="0"/>
    <w:rPr>
      <w:rFonts w:ascii="EYInterstate Light" w:hAnsi="楷体_GB2312"/>
      <w:sz w:val="18"/>
      <w:szCs w:val="18"/>
    </w:rPr>
  </w:style>
  <w:style w:type="paragraph" w:customStyle="1" w:styleId="190">
    <w:name w:val="List Paragraph1"/>
    <w:basedOn w:val="1"/>
    <w:autoRedefine/>
    <w:qFormat/>
    <w:uiPriority w:val="99"/>
    <w:pPr>
      <w:ind w:firstLine="420" w:firstLineChars="200"/>
    </w:pPr>
    <w:rPr>
      <w:rFonts w:ascii="楷体_GB2312" w:hAnsi="楷体_GB2312"/>
      <w:szCs w:val="22"/>
    </w:rPr>
  </w:style>
  <w:style w:type="paragraph" w:customStyle="1" w:styleId="191">
    <w:name w:val="font6"/>
    <w:basedOn w:val="1"/>
    <w:autoRedefine/>
    <w:qFormat/>
    <w:uiPriority w:val="0"/>
    <w:pPr>
      <w:widowControl/>
      <w:spacing w:before="100" w:beforeAutospacing="1" w:after="100" w:afterAutospacing="1"/>
      <w:jc w:val="left"/>
    </w:pPr>
    <w:rPr>
      <w:rFonts w:ascii="EYInterstate Light" w:hAnsi="EYInterstate Light" w:cs="EYInterstate Light"/>
      <w:kern w:val="0"/>
      <w:sz w:val="20"/>
      <w:szCs w:val="20"/>
    </w:rPr>
  </w:style>
  <w:style w:type="paragraph" w:customStyle="1" w:styleId="192">
    <w:name w:val="xl3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193">
    <w:name w:val="默认段落字体 Para Char"/>
    <w:basedOn w:val="1"/>
    <w:autoRedefine/>
    <w:qFormat/>
    <w:uiPriority w:val="0"/>
    <w:pPr>
      <w:numPr>
        <w:ilvl w:val="0"/>
        <w:numId w:val="1"/>
      </w:numPr>
    </w:pPr>
  </w:style>
  <w:style w:type="paragraph" w:customStyle="1" w:styleId="194">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paragraph" w:customStyle="1" w:styleId="195">
    <w:name w:val="小标题"/>
    <w:basedOn w:val="1"/>
    <w:autoRedefine/>
    <w:qFormat/>
    <w:uiPriority w:val="0"/>
    <w:pPr>
      <w:adjustRightInd w:val="0"/>
      <w:spacing w:before="120" w:line="360" w:lineRule="auto"/>
      <w:jc w:val="center"/>
      <w:textAlignment w:val="baseline"/>
    </w:pPr>
    <w:rPr>
      <w:color w:val="0000FF"/>
      <w:kern w:val="0"/>
      <w:sz w:val="24"/>
      <w:szCs w:val="20"/>
      <w:u w:val="double"/>
    </w:rPr>
  </w:style>
  <w:style w:type="paragraph" w:customStyle="1" w:styleId="196">
    <w:name w:val="Char1"/>
    <w:basedOn w:val="1"/>
    <w:autoRedefine/>
    <w:qFormat/>
    <w:uiPriority w:val="0"/>
    <w:rPr>
      <w:rFonts w:ascii="等线 Light" w:eastAsia="等线 Light"/>
      <w:b/>
      <w:sz w:val="32"/>
      <w:szCs w:val="32"/>
    </w:rPr>
  </w:style>
  <w:style w:type="paragraph" w:customStyle="1" w:styleId="197">
    <w:name w:val="unknown style"/>
    <w:autoRedefine/>
    <w:qFormat/>
    <w:uiPriority w:val="0"/>
    <w:pPr>
      <w:widowControl w:val="0"/>
      <w:suppressAutoHyphens/>
    </w:pPr>
    <w:rPr>
      <w:rFonts w:ascii="Tahoma" w:hAnsi="Tahoma" w:eastAsia="EYInterstate Light" w:cs="Tahoma"/>
      <w:color w:val="000000"/>
      <w:kern w:val="1"/>
      <w:lang w:val="en-US" w:eastAsia="ar-SA" w:bidi="ar-SA"/>
    </w:rPr>
  </w:style>
  <w:style w:type="paragraph" w:customStyle="1" w:styleId="198">
    <w:name w:val="正文12"/>
    <w:basedOn w:val="1"/>
    <w:autoRedefine/>
    <w:qFormat/>
    <w:uiPriority w:val="0"/>
    <w:pPr>
      <w:widowControl/>
    </w:pPr>
    <w:rPr>
      <w:rFonts w:eastAsia="Tahoma"/>
      <w:kern w:val="0"/>
      <w:szCs w:val="20"/>
    </w:rPr>
  </w:style>
  <w:style w:type="paragraph" w:customStyle="1" w:styleId="199">
    <w:name w:val="xl68"/>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200">
    <w:name w:val="xl50"/>
    <w:basedOn w:val="1"/>
    <w:autoRedefine/>
    <w:qFormat/>
    <w:uiPriority w:val="0"/>
    <w:pPr>
      <w:widowControl/>
      <w:pBdr>
        <w:top w:val="single" w:color="auto" w:sz="4" w:space="0"/>
        <w:left w:val="single" w:color="auto" w:sz="4" w:space="0"/>
        <w:bottom w:val="single" w:color="auto" w:sz="4" w:space="0"/>
      </w:pBdr>
      <w:shd w:val="clear" w:color="auto" w:fill="C0C0C0"/>
      <w:spacing w:before="100" w:beforeAutospacing="1" w:after="100" w:afterAutospacing="1"/>
      <w:jc w:val="center"/>
    </w:pPr>
    <w:rPr>
      <w:rFonts w:ascii="EYInterstate Light" w:hAnsi="EYInterstate Light" w:cs="EYInterstate Light"/>
      <w:b/>
      <w:bCs/>
      <w:kern w:val="0"/>
      <w:sz w:val="20"/>
      <w:szCs w:val="20"/>
    </w:rPr>
  </w:style>
  <w:style w:type="paragraph" w:customStyle="1" w:styleId="201">
    <w:name w:val="xl5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202">
    <w:name w:val="font7"/>
    <w:basedOn w:val="1"/>
    <w:autoRedefine/>
    <w:qFormat/>
    <w:uiPriority w:val="0"/>
    <w:pPr>
      <w:widowControl/>
      <w:spacing w:before="100" w:beforeAutospacing="1" w:after="100" w:afterAutospacing="1"/>
      <w:jc w:val="left"/>
    </w:pPr>
    <w:rPr>
      <w:rFonts w:ascii="EYInterstate Light" w:hAnsi="EYInterstate Light" w:cs="EYInterstate Light"/>
      <w:kern w:val="0"/>
      <w:sz w:val="20"/>
      <w:szCs w:val="20"/>
    </w:rPr>
  </w:style>
  <w:style w:type="paragraph" w:customStyle="1" w:styleId="203">
    <w:name w:val="日期1"/>
    <w:basedOn w:val="1"/>
    <w:next w:val="1"/>
    <w:autoRedefine/>
    <w:qFormat/>
    <w:uiPriority w:val="0"/>
    <w:pPr>
      <w:overflowPunct w:val="0"/>
      <w:autoSpaceDE w:val="0"/>
      <w:autoSpaceDN w:val="0"/>
      <w:adjustRightInd w:val="0"/>
      <w:textAlignment w:val="baseline"/>
    </w:pPr>
    <w:rPr>
      <w:szCs w:val="20"/>
    </w:rPr>
  </w:style>
  <w:style w:type="paragraph" w:customStyle="1" w:styleId="204">
    <w:name w:val="xl4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205">
    <w:name w:val="章标题"/>
    <w:basedOn w:val="46"/>
    <w:autoRedefine/>
    <w:qFormat/>
    <w:uiPriority w:val="0"/>
    <w:rPr>
      <w:rFonts w:ascii="Verdana" w:hAnsi="Verdana" w:cs="Verdana"/>
      <w:sz w:val="20"/>
    </w:rPr>
  </w:style>
  <w:style w:type="paragraph" w:customStyle="1" w:styleId="206">
    <w:name w:val="xl6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207">
    <w:name w:val="TOC 标题1"/>
    <w:basedOn w:val="5"/>
    <w:next w:val="1"/>
    <w:autoRedefine/>
    <w:qFormat/>
    <w:uiPriority w:val="0"/>
    <w:pPr>
      <w:widowControl/>
      <w:spacing w:before="480" w:after="0" w:line="276" w:lineRule="auto"/>
      <w:jc w:val="left"/>
      <w:outlineLvl w:val="9"/>
    </w:pPr>
    <w:rPr>
      <w:rFonts w:ascii="等线" w:hAnsi="等线"/>
      <w:color w:val="365F91"/>
      <w:kern w:val="0"/>
      <w:sz w:val="28"/>
      <w:szCs w:val="28"/>
    </w:rPr>
  </w:style>
  <w:style w:type="paragraph" w:customStyle="1" w:styleId="208">
    <w:name w:val="列出段落1"/>
    <w:basedOn w:val="1"/>
    <w:autoRedefine/>
    <w:qFormat/>
    <w:uiPriority w:val="0"/>
    <w:pPr>
      <w:ind w:firstLine="420" w:firstLineChars="200"/>
    </w:pPr>
    <w:rPr>
      <w:rFonts w:ascii="楷体_GB2312" w:hAnsi="楷体_GB2312"/>
      <w:szCs w:val="22"/>
    </w:rPr>
  </w:style>
  <w:style w:type="paragraph" w:customStyle="1" w:styleId="209">
    <w:name w:val="xl6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210">
    <w:name w:val="xl71"/>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b/>
      <w:bCs/>
      <w:kern w:val="0"/>
      <w:sz w:val="20"/>
      <w:szCs w:val="20"/>
    </w:rPr>
  </w:style>
  <w:style w:type="paragraph" w:customStyle="1" w:styleId="211">
    <w:name w:val="引用11"/>
    <w:basedOn w:val="1"/>
    <w:next w:val="1"/>
    <w:autoRedefine/>
    <w:qFormat/>
    <w:uiPriority w:val="0"/>
    <w:rPr>
      <w:rFonts w:ascii="楷体_GB2312" w:hAnsi="楷体_GB2312"/>
      <w:i/>
      <w:color w:val="000000"/>
      <w:sz w:val="22"/>
      <w:szCs w:val="22"/>
    </w:rPr>
  </w:style>
  <w:style w:type="paragraph" w:customStyle="1" w:styleId="212">
    <w:name w:val="表格（小四，宋体）"/>
    <w:basedOn w:val="1"/>
    <w:autoRedefine/>
    <w:qFormat/>
    <w:uiPriority w:val="0"/>
    <w:pPr>
      <w:widowControl/>
      <w:jc w:val="left"/>
    </w:pPr>
    <w:rPr>
      <w:rFonts w:ascii="EYInterstate Light" w:hAnsi="EYInterstate Light"/>
      <w:sz w:val="24"/>
    </w:rPr>
  </w:style>
  <w:style w:type="paragraph" w:customStyle="1" w:styleId="213">
    <w:name w:val="Char Char Char"/>
    <w:basedOn w:val="1"/>
    <w:autoRedefine/>
    <w:qFormat/>
    <w:uiPriority w:val="0"/>
    <w:rPr>
      <w:rFonts w:eastAsia="等线 Light"/>
      <w:sz w:val="32"/>
      <w:szCs w:val="20"/>
    </w:rPr>
  </w:style>
  <w:style w:type="paragraph" w:customStyle="1" w:styleId="214">
    <w:name w:val="xl60"/>
    <w:basedOn w:val="1"/>
    <w:autoRedefine/>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ascii="EYInterstate Light" w:hAnsi="EYInterstate Light" w:cs="EYInterstate Light"/>
      <w:b/>
      <w:bCs/>
      <w:kern w:val="0"/>
      <w:sz w:val="20"/>
      <w:szCs w:val="20"/>
    </w:rPr>
  </w:style>
  <w:style w:type="paragraph" w:customStyle="1" w:styleId="215">
    <w:name w:val="注解（小四，楷体）"/>
    <w:basedOn w:val="1"/>
    <w:autoRedefine/>
    <w:qFormat/>
    <w:uiPriority w:val="0"/>
    <w:pPr>
      <w:widowControl/>
      <w:jc w:val="left"/>
    </w:pPr>
    <w:rPr>
      <w:rFonts w:ascii="Century Gothic" w:hAnsi="Century Gothic" w:eastAsia="Century Gothic"/>
      <w:sz w:val="24"/>
    </w:rPr>
  </w:style>
  <w:style w:type="paragraph" w:customStyle="1" w:styleId="216">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EYInterstate Light" w:hAnsi="EYInterstate Light" w:cs="EYInterstate Light"/>
      <w:kern w:val="0"/>
      <w:sz w:val="18"/>
      <w:szCs w:val="18"/>
    </w:rPr>
  </w:style>
  <w:style w:type="paragraph" w:customStyle="1" w:styleId="217">
    <w:name w:val="注"/>
    <w:basedOn w:val="1"/>
    <w:autoRedefine/>
    <w:qFormat/>
    <w:uiPriority w:val="0"/>
    <w:pPr>
      <w:adjustRightInd w:val="0"/>
      <w:spacing w:line="360" w:lineRule="atLeast"/>
      <w:ind w:left="840" w:hanging="420"/>
      <w:textAlignment w:val="baseline"/>
    </w:pPr>
    <w:rPr>
      <w:kern w:val="0"/>
      <w:szCs w:val="20"/>
    </w:rPr>
  </w:style>
  <w:style w:type="paragraph" w:customStyle="1" w:styleId="218">
    <w:name w:val="Char Char Char Char Char Char Char Char Char Char Char Char Char"/>
    <w:basedOn w:val="16"/>
    <w:autoRedefine/>
    <w:qFormat/>
    <w:uiPriority w:val="0"/>
    <w:pPr>
      <w:shd w:val="clear" w:color="auto" w:fill="000080"/>
    </w:pPr>
    <w:rPr>
      <w:rFonts w:ascii="Cambria" w:hAnsi="Cambria"/>
      <w:sz w:val="24"/>
      <w:szCs w:val="24"/>
    </w:rPr>
  </w:style>
  <w:style w:type="paragraph" w:customStyle="1" w:styleId="219">
    <w:name w:val="Char Char Char Char"/>
    <w:basedOn w:val="16"/>
    <w:autoRedefine/>
    <w:qFormat/>
    <w:uiPriority w:val="0"/>
    <w:pPr>
      <w:shd w:val="clear" w:color="auto" w:fill="000080"/>
      <w:adjustRightInd w:val="0"/>
      <w:spacing w:line="436" w:lineRule="exact"/>
      <w:ind w:left="357"/>
      <w:jc w:val="left"/>
      <w:outlineLvl w:val="3"/>
    </w:pPr>
    <w:rPr>
      <w:rFonts w:ascii="Tahoma"/>
      <w:sz w:val="21"/>
      <w:szCs w:val="24"/>
    </w:rPr>
  </w:style>
  <w:style w:type="paragraph" w:customStyle="1" w:styleId="220">
    <w:name w:val="Char Char Char1"/>
    <w:basedOn w:val="1"/>
    <w:autoRedefine/>
    <w:qFormat/>
    <w:uiPriority w:val="0"/>
    <w:rPr>
      <w:rFonts w:eastAsia="等线 Light"/>
      <w:sz w:val="32"/>
      <w:szCs w:val="20"/>
    </w:rPr>
  </w:style>
  <w:style w:type="paragraph" w:customStyle="1" w:styleId="221">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18"/>
      <w:szCs w:val="18"/>
    </w:rPr>
  </w:style>
  <w:style w:type="paragraph" w:customStyle="1" w:styleId="222">
    <w:name w:val="xl74"/>
    <w:basedOn w:val="1"/>
    <w:autoRedefine/>
    <w:qFormat/>
    <w:uiPriority w:val="0"/>
    <w:pPr>
      <w:widowControl/>
      <w:pBdr>
        <w:top w:val="single" w:color="auto" w:sz="4" w:space="0"/>
        <w:bottom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223">
    <w:name w:val="xl4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EYInterstate Light" w:hAnsi="EYInterstate Light" w:cs="EYInterstate Light"/>
      <w:kern w:val="0"/>
      <w:sz w:val="18"/>
      <w:szCs w:val="18"/>
    </w:rPr>
  </w:style>
  <w:style w:type="paragraph" w:customStyle="1" w:styleId="224">
    <w:name w:val="Normal_3"/>
    <w:autoRedefine/>
    <w:qFormat/>
    <w:uiPriority w:val="0"/>
    <w:pPr>
      <w:spacing w:before="120" w:after="240"/>
      <w:jc w:val="both"/>
    </w:pPr>
    <w:rPr>
      <w:rFonts w:ascii="Tahoma" w:hAnsi="Tahoma" w:eastAsia="EYInterstate Light" w:cs="Tahoma"/>
      <w:sz w:val="22"/>
      <w:szCs w:val="22"/>
      <w:lang w:val="en-US" w:eastAsia="en-US" w:bidi="ar-SA"/>
    </w:rPr>
  </w:style>
  <w:style w:type="paragraph" w:customStyle="1" w:styleId="225">
    <w:name w:val="目录文字"/>
    <w:basedOn w:val="1"/>
    <w:autoRedefine/>
    <w:qFormat/>
    <w:uiPriority w:val="0"/>
    <w:pPr>
      <w:widowControl/>
      <w:spacing w:line="480" w:lineRule="auto"/>
      <w:jc w:val="left"/>
    </w:pPr>
    <w:rPr>
      <w:rFonts w:ascii="EYInterstate Light" w:hAnsi="EYInterstate Light"/>
      <w:kern w:val="0"/>
      <w:sz w:val="24"/>
      <w:szCs w:val="20"/>
    </w:rPr>
  </w:style>
  <w:style w:type="paragraph" w:customStyle="1" w:styleId="226">
    <w:name w:val="xl56"/>
    <w:basedOn w:val="1"/>
    <w:autoRedefine/>
    <w:qFormat/>
    <w:uiPriority w:val="0"/>
    <w:pPr>
      <w:widowControl/>
      <w:pBdr>
        <w:top w:val="single" w:color="auto" w:sz="4" w:space="0"/>
        <w:bottom w:val="single" w:color="auto" w:sz="4" w:space="0"/>
      </w:pBdr>
      <w:spacing w:before="100" w:beforeAutospacing="1" w:after="100" w:afterAutospacing="1"/>
      <w:jc w:val="left"/>
    </w:pPr>
    <w:rPr>
      <w:rFonts w:ascii="EYInterstate Light" w:hAnsi="EYInterstate Light" w:cs="EYInterstate Light"/>
      <w:b/>
      <w:bCs/>
      <w:kern w:val="0"/>
      <w:sz w:val="20"/>
      <w:szCs w:val="20"/>
    </w:rPr>
  </w:style>
  <w:style w:type="paragraph" w:customStyle="1" w:styleId="227">
    <w:name w:val="表格"/>
    <w:basedOn w:val="1"/>
    <w:autoRedefine/>
    <w:qFormat/>
    <w:uiPriority w:val="0"/>
    <w:pPr>
      <w:jc w:val="center"/>
      <w:textAlignment w:val="center"/>
    </w:pPr>
    <w:rPr>
      <w:rFonts w:ascii="楷体_GB2312" w:hAnsi="楷体_GB2312"/>
      <w:kern w:val="0"/>
      <w:szCs w:val="20"/>
    </w:rPr>
  </w:style>
  <w:style w:type="paragraph" w:customStyle="1" w:styleId="228">
    <w:name w:val="正文－恩普"/>
    <w:basedOn w:val="8"/>
    <w:autoRedefine/>
    <w:qFormat/>
    <w:uiPriority w:val="0"/>
    <w:pPr>
      <w:widowControl/>
      <w:autoSpaceDE/>
      <w:autoSpaceDN/>
      <w:adjustRightInd/>
      <w:spacing w:line="360" w:lineRule="auto"/>
      <w:ind w:firstLine="480" w:firstLineChars="200"/>
    </w:pPr>
    <w:rPr>
      <w:rFonts w:ascii="Tahoma" w:eastAsia="EYInterstate Light"/>
      <w:sz w:val="24"/>
    </w:rPr>
  </w:style>
  <w:style w:type="paragraph" w:customStyle="1" w:styleId="229">
    <w:name w:val="表格内容"/>
    <w:basedOn w:val="1"/>
    <w:autoRedefine/>
    <w:qFormat/>
    <w:uiPriority w:val="0"/>
    <w:pPr>
      <w:adjustRightInd w:val="0"/>
      <w:spacing w:before="40"/>
      <w:jc w:val="left"/>
      <w:textAlignment w:val="baseline"/>
    </w:pPr>
    <w:rPr>
      <w:sz w:val="24"/>
      <w:szCs w:val="20"/>
    </w:rPr>
  </w:style>
  <w:style w:type="paragraph" w:customStyle="1" w:styleId="230">
    <w:name w:val="xl36"/>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23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rPr>
  </w:style>
  <w:style w:type="paragraph" w:customStyle="1" w:styleId="232">
    <w:name w:val="6'"/>
    <w:basedOn w:val="1"/>
    <w:autoRedefine/>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233">
    <w:name w:val="xl65"/>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Verdana" w:hAnsi="Verdana" w:cs="Verdana"/>
      <w:kern w:val="0"/>
      <w:sz w:val="20"/>
      <w:szCs w:val="20"/>
    </w:rPr>
  </w:style>
  <w:style w:type="paragraph" w:customStyle="1" w:styleId="234">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Verdana" w:hAnsi="Verdana" w:cs="Verdana"/>
      <w:kern w:val="0"/>
      <w:sz w:val="20"/>
      <w:szCs w:val="20"/>
    </w:rPr>
  </w:style>
  <w:style w:type="paragraph" w:customStyle="1" w:styleId="235">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Verdana" w:hAnsi="Verdana" w:cs="Verdana"/>
      <w:kern w:val="0"/>
      <w:sz w:val="20"/>
      <w:szCs w:val="20"/>
    </w:rPr>
  </w:style>
  <w:style w:type="paragraph" w:customStyle="1" w:styleId="236">
    <w:name w:val="Char2"/>
    <w:basedOn w:val="1"/>
    <w:autoRedefine/>
    <w:qFormat/>
    <w:uiPriority w:val="0"/>
    <w:rPr>
      <w:rFonts w:eastAsia="等线 Light"/>
      <w:sz w:val="28"/>
    </w:rPr>
  </w:style>
  <w:style w:type="paragraph" w:customStyle="1" w:styleId="237">
    <w:name w:val="正文文字"/>
    <w:basedOn w:val="1"/>
    <w:autoRedefine/>
    <w:qFormat/>
    <w:uiPriority w:val="0"/>
    <w:pPr>
      <w:widowControl/>
      <w:spacing w:line="952" w:lineRule="atLeast"/>
      <w:ind w:firstLine="419"/>
      <w:textAlignment w:val="baseline"/>
    </w:pPr>
    <w:rPr>
      <w:b/>
      <w:color w:val="000000"/>
      <w:kern w:val="0"/>
      <w:sz w:val="44"/>
      <w:szCs w:val="20"/>
      <w:u w:color="000000"/>
    </w:rPr>
  </w:style>
  <w:style w:type="paragraph" w:customStyle="1" w:styleId="238">
    <w:name w:val="正文单弧括号"/>
    <w:basedOn w:val="239"/>
    <w:autoRedefine/>
    <w:qFormat/>
    <w:uiPriority w:val="0"/>
    <w:pPr>
      <w:ind w:left="567"/>
    </w:pPr>
  </w:style>
  <w:style w:type="paragraph" w:customStyle="1" w:styleId="239">
    <w:name w:val="正文双弧括号"/>
    <w:basedOn w:val="1"/>
    <w:autoRedefine/>
    <w:qFormat/>
    <w:uiPriority w:val="0"/>
    <w:pPr>
      <w:spacing w:before="120" w:line="500" w:lineRule="exact"/>
    </w:pPr>
    <w:rPr>
      <w:b/>
      <w:sz w:val="28"/>
      <w:szCs w:val="22"/>
    </w:rPr>
  </w:style>
  <w:style w:type="paragraph" w:customStyle="1" w:styleId="240">
    <w:name w:val="TOC 标题11"/>
    <w:basedOn w:val="5"/>
    <w:next w:val="1"/>
    <w:autoRedefine/>
    <w:qFormat/>
    <w:uiPriority w:val="0"/>
    <w:pPr>
      <w:widowControl/>
      <w:spacing w:before="480" w:after="0" w:line="276" w:lineRule="auto"/>
      <w:jc w:val="left"/>
      <w:outlineLvl w:val="9"/>
    </w:pPr>
    <w:rPr>
      <w:rFonts w:ascii="等线" w:hAnsi="等线"/>
      <w:color w:val="365F91"/>
      <w:kern w:val="0"/>
      <w:sz w:val="28"/>
      <w:szCs w:val="28"/>
    </w:rPr>
  </w:style>
  <w:style w:type="paragraph" w:customStyle="1" w:styleId="241">
    <w:name w:val="xl57"/>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b/>
      <w:bCs/>
      <w:kern w:val="0"/>
      <w:sz w:val="20"/>
      <w:szCs w:val="20"/>
    </w:rPr>
  </w:style>
  <w:style w:type="paragraph" w:customStyle="1" w:styleId="242">
    <w:name w:val="p0"/>
    <w:basedOn w:val="1"/>
    <w:autoRedefine/>
    <w:qFormat/>
    <w:uiPriority w:val="0"/>
    <w:pPr>
      <w:widowControl/>
    </w:pPr>
    <w:rPr>
      <w:kern w:val="0"/>
      <w:szCs w:val="21"/>
    </w:rPr>
  </w:style>
  <w:style w:type="paragraph" w:customStyle="1" w:styleId="243">
    <w:name w:val="Char Char Char Char1"/>
    <w:basedOn w:val="16"/>
    <w:autoRedefine/>
    <w:qFormat/>
    <w:uiPriority w:val="0"/>
    <w:pPr>
      <w:shd w:val="clear" w:color="auto" w:fill="000080"/>
      <w:adjustRightInd w:val="0"/>
      <w:spacing w:line="436" w:lineRule="exact"/>
      <w:ind w:left="357"/>
      <w:jc w:val="left"/>
      <w:outlineLvl w:val="3"/>
    </w:pPr>
    <w:rPr>
      <w:rFonts w:ascii="Tahoma" w:hAnsi="楷体_GB2312"/>
      <w:sz w:val="21"/>
      <w:szCs w:val="24"/>
    </w:rPr>
  </w:style>
  <w:style w:type="paragraph" w:customStyle="1" w:styleId="244">
    <w:name w:val="xl61"/>
    <w:basedOn w:val="1"/>
    <w:autoRedefine/>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center"/>
    </w:pPr>
    <w:rPr>
      <w:rFonts w:ascii="EYInterstate Light" w:hAnsi="EYInterstate Light" w:cs="EYInterstate Light"/>
      <w:b/>
      <w:bCs/>
      <w:kern w:val="0"/>
      <w:sz w:val="20"/>
      <w:szCs w:val="20"/>
    </w:rPr>
  </w:style>
  <w:style w:type="paragraph" w:customStyle="1" w:styleId="245">
    <w:name w:val="样式 标题 1 + 黑体 三号 非加粗 居中 段前: 6 磅 段后: 6 磅 行距: 固定值 20 磅"/>
    <w:basedOn w:val="5"/>
    <w:autoRedefine/>
    <w:qFormat/>
    <w:uiPriority w:val="0"/>
    <w:pPr>
      <w:spacing w:before="120" w:after="120" w:line="400" w:lineRule="exact"/>
      <w:jc w:val="center"/>
    </w:pPr>
    <w:rPr>
      <w:rFonts w:ascii="华文细黑" w:hAnsi="华文细黑" w:eastAsia="华文细黑" w:cs="EYInterstate Light"/>
      <w:b w:val="0"/>
      <w:bCs w:val="0"/>
      <w:sz w:val="32"/>
      <w:szCs w:val="20"/>
    </w:rPr>
  </w:style>
  <w:style w:type="paragraph" w:customStyle="1" w:styleId="246">
    <w:name w:val="Char3 Char Char Char"/>
    <w:basedOn w:val="1"/>
    <w:autoRedefine/>
    <w:qFormat/>
    <w:uiPriority w:val="0"/>
    <w:pPr>
      <w:widowControl/>
      <w:spacing w:after="160" w:line="240" w:lineRule="exact"/>
      <w:jc w:val="left"/>
    </w:pPr>
    <w:rPr>
      <w:szCs w:val="20"/>
    </w:rPr>
  </w:style>
  <w:style w:type="paragraph" w:customStyle="1" w:styleId="247">
    <w:name w:val="font5"/>
    <w:basedOn w:val="1"/>
    <w:autoRedefine/>
    <w:qFormat/>
    <w:uiPriority w:val="0"/>
    <w:pPr>
      <w:widowControl/>
      <w:spacing w:before="100" w:beforeAutospacing="1" w:after="100" w:afterAutospacing="1"/>
      <w:jc w:val="left"/>
    </w:pPr>
    <w:rPr>
      <w:rFonts w:ascii="EYInterstate Light" w:hAnsi="EYInterstate Light" w:cs="EYInterstate Light"/>
      <w:kern w:val="0"/>
      <w:sz w:val="18"/>
      <w:szCs w:val="18"/>
    </w:rPr>
  </w:style>
  <w:style w:type="paragraph" w:customStyle="1" w:styleId="248">
    <w:name w:val="xl35"/>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249">
    <w:name w:val="xl52"/>
    <w:basedOn w:val="1"/>
    <w:autoRedefine/>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center"/>
    </w:pPr>
    <w:rPr>
      <w:rFonts w:ascii="EYInterstate Light" w:hAnsi="EYInterstate Light" w:cs="EYInterstate Light"/>
      <w:kern w:val="0"/>
      <w:sz w:val="20"/>
      <w:szCs w:val="20"/>
    </w:rPr>
  </w:style>
  <w:style w:type="paragraph" w:customStyle="1" w:styleId="250">
    <w:name w:val="Char Char Char Char Char Char Char Char Char Char Char Char Char Char Char Char Char Char Char Char Char Char Char Char Char Char Char Char Char Char Char Char Char"/>
    <w:basedOn w:val="1"/>
    <w:autoRedefine/>
    <w:qFormat/>
    <w:uiPriority w:val="0"/>
    <w:pPr>
      <w:widowControl/>
      <w:spacing w:after="160" w:line="240" w:lineRule="exact"/>
      <w:jc w:val="left"/>
    </w:pPr>
    <w:rPr>
      <w:rFonts w:ascii="华文中宋" w:hAnsi="华文中宋" w:eastAsia="等线 Light"/>
      <w:kern w:val="0"/>
      <w:sz w:val="24"/>
      <w:szCs w:val="20"/>
      <w:lang w:eastAsia="en-US"/>
    </w:rPr>
  </w:style>
  <w:style w:type="paragraph" w:customStyle="1" w:styleId="251">
    <w:name w:val="样式 标题 3 + (中文) 黑体 小四 非加粗 段前: 7.8 磅 段后: 0 磅 行距: 固定值 20 磅"/>
    <w:basedOn w:val="7"/>
    <w:autoRedefine/>
    <w:qFormat/>
    <w:uiPriority w:val="0"/>
    <w:pPr>
      <w:autoSpaceDE/>
      <w:autoSpaceDN/>
      <w:adjustRightInd/>
      <w:spacing w:before="0" w:after="0" w:line="400" w:lineRule="exact"/>
    </w:pPr>
    <w:rPr>
      <w:rFonts w:ascii="Tahoma" w:cs="EYInterstate Light"/>
      <w:kern w:val="2"/>
      <w:sz w:val="24"/>
    </w:rPr>
  </w:style>
  <w:style w:type="paragraph" w:customStyle="1" w:styleId="252">
    <w:name w:val="xl46"/>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EYInterstate Light" w:hAnsi="EYInterstate Light" w:cs="EYInterstate Light"/>
      <w:b/>
      <w:bCs/>
      <w:kern w:val="0"/>
      <w:sz w:val="20"/>
      <w:szCs w:val="20"/>
    </w:rPr>
  </w:style>
  <w:style w:type="paragraph" w:customStyle="1" w:styleId="253">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中圆体" w:hAnsi="中圆体"/>
      <w:kern w:val="0"/>
      <w:sz w:val="20"/>
      <w:szCs w:val="20"/>
    </w:rPr>
  </w:style>
  <w:style w:type="paragraph" w:customStyle="1" w:styleId="254">
    <w:name w:val="Char11"/>
    <w:basedOn w:val="1"/>
    <w:autoRedefine/>
    <w:qFormat/>
    <w:uiPriority w:val="0"/>
    <w:rPr>
      <w:rFonts w:ascii="等线 Light" w:eastAsia="等线 Light"/>
      <w:b/>
      <w:sz w:val="32"/>
      <w:szCs w:val="32"/>
    </w:rPr>
  </w:style>
  <w:style w:type="paragraph" w:customStyle="1" w:styleId="255">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256">
    <w:name w:val="明显引用11"/>
    <w:basedOn w:val="1"/>
    <w:next w:val="1"/>
    <w:autoRedefine/>
    <w:qFormat/>
    <w:uiPriority w:val="0"/>
    <w:pPr>
      <w:pBdr>
        <w:bottom w:val="single" w:color="4F81BD" w:sz="4" w:space="4"/>
      </w:pBdr>
      <w:spacing w:before="200" w:after="280"/>
      <w:ind w:left="936" w:right="936"/>
    </w:pPr>
    <w:rPr>
      <w:rFonts w:ascii="楷体_GB2312" w:hAnsi="楷体_GB2312"/>
      <w:b/>
      <w:i/>
      <w:color w:val="4F81BD"/>
      <w:sz w:val="22"/>
      <w:szCs w:val="22"/>
    </w:rPr>
  </w:style>
  <w:style w:type="paragraph" w:customStyle="1" w:styleId="257">
    <w:name w:val="Char3 Char Char Char1"/>
    <w:basedOn w:val="1"/>
    <w:autoRedefine/>
    <w:qFormat/>
    <w:uiPriority w:val="0"/>
    <w:pPr>
      <w:widowControl/>
      <w:spacing w:after="160" w:line="240" w:lineRule="exact"/>
      <w:jc w:val="left"/>
    </w:pPr>
    <w:rPr>
      <w:szCs w:val="20"/>
    </w:rPr>
  </w:style>
  <w:style w:type="paragraph" w:customStyle="1" w:styleId="258">
    <w:name w:val="新定义正文"/>
    <w:basedOn w:val="1"/>
    <w:autoRedefine/>
    <w:qFormat/>
    <w:uiPriority w:val="0"/>
    <w:pPr>
      <w:widowControl/>
    </w:pPr>
    <w:rPr>
      <w:color w:val="000000"/>
      <w:szCs w:val="21"/>
    </w:rPr>
  </w:style>
  <w:style w:type="paragraph" w:customStyle="1" w:styleId="259">
    <w:name w:val="xl69"/>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EYInterstate Light" w:hAnsi="EYInterstate Light" w:cs="EYInterstate Light"/>
      <w:b/>
      <w:bCs/>
      <w:kern w:val="0"/>
      <w:sz w:val="20"/>
      <w:szCs w:val="20"/>
    </w:rPr>
  </w:style>
  <w:style w:type="paragraph" w:customStyle="1" w:styleId="260">
    <w:name w:val="样式2"/>
    <w:basedOn w:val="7"/>
    <w:autoRedefine/>
    <w:qFormat/>
    <w:uiPriority w:val="0"/>
    <w:pPr>
      <w:autoSpaceDE/>
      <w:autoSpaceDN/>
      <w:adjustRightInd/>
      <w:spacing w:before="260" w:after="260" w:line="415" w:lineRule="auto"/>
    </w:pPr>
    <w:rPr>
      <w:rFonts w:ascii="Tahoma" w:eastAsia="EYInterstate Light"/>
      <w:b/>
      <w:bCs/>
      <w:kern w:val="2"/>
      <w:sz w:val="32"/>
      <w:szCs w:val="32"/>
    </w:rPr>
  </w:style>
  <w:style w:type="paragraph" w:customStyle="1" w:styleId="261">
    <w:name w:val="xl51"/>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EYInterstate Light" w:hAnsi="EYInterstate Light" w:cs="EYInterstate Light"/>
      <w:kern w:val="0"/>
      <w:sz w:val="20"/>
      <w:szCs w:val="20"/>
    </w:rPr>
  </w:style>
  <w:style w:type="paragraph" w:customStyle="1" w:styleId="262">
    <w:name w:val="xl4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18"/>
      <w:szCs w:val="18"/>
    </w:rPr>
  </w:style>
  <w:style w:type="paragraph" w:customStyle="1" w:styleId="263">
    <w:name w:val="xl70"/>
    <w:basedOn w:val="1"/>
    <w:autoRedefine/>
    <w:qFormat/>
    <w:uiPriority w:val="0"/>
    <w:pPr>
      <w:widowControl/>
      <w:pBdr>
        <w:top w:val="single" w:color="auto" w:sz="4" w:space="0"/>
        <w:bottom w:val="single" w:color="auto" w:sz="4" w:space="0"/>
      </w:pBdr>
      <w:spacing w:before="100" w:beforeAutospacing="1" w:after="100" w:afterAutospacing="1"/>
      <w:jc w:val="center"/>
    </w:pPr>
    <w:rPr>
      <w:rFonts w:ascii="EYInterstate Light" w:hAnsi="EYInterstate Light" w:cs="EYInterstate Light"/>
      <w:b/>
      <w:bCs/>
      <w:kern w:val="0"/>
      <w:sz w:val="20"/>
      <w:szCs w:val="20"/>
    </w:rPr>
  </w:style>
  <w:style w:type="paragraph" w:customStyle="1" w:styleId="264">
    <w:name w:val="目录"/>
    <w:basedOn w:val="1"/>
    <w:autoRedefine/>
    <w:qFormat/>
    <w:uiPriority w:val="0"/>
    <w:pPr>
      <w:widowControl/>
      <w:jc w:val="center"/>
    </w:pPr>
    <w:rPr>
      <w:rFonts w:ascii="EYInterstate Light"/>
      <w:b/>
      <w:kern w:val="0"/>
      <w:sz w:val="36"/>
      <w:szCs w:val="20"/>
    </w:rPr>
  </w:style>
  <w:style w:type="paragraph" w:customStyle="1" w:styleId="265">
    <w:name w:val="表头文本"/>
    <w:basedOn w:val="1"/>
    <w:autoRedefine/>
    <w:qFormat/>
    <w:uiPriority w:val="0"/>
    <w:pPr>
      <w:autoSpaceDE w:val="0"/>
      <w:autoSpaceDN w:val="0"/>
      <w:adjustRightInd w:val="0"/>
      <w:jc w:val="center"/>
    </w:pPr>
    <w:rPr>
      <w:b/>
      <w:kern w:val="0"/>
      <w:sz w:val="24"/>
      <w:szCs w:val="20"/>
    </w:rPr>
  </w:style>
  <w:style w:type="paragraph" w:customStyle="1" w:styleId="266">
    <w:name w:val="无间隔1"/>
    <w:autoRedefine/>
    <w:qFormat/>
    <w:uiPriority w:val="0"/>
    <w:pPr>
      <w:widowControl w:val="0"/>
      <w:jc w:val="both"/>
    </w:pPr>
    <w:rPr>
      <w:rFonts w:ascii="Tahoma" w:hAnsi="Tahoma" w:eastAsia="EYInterstate Light" w:cs="Tahoma"/>
      <w:kern w:val="2"/>
      <w:sz w:val="21"/>
      <w:szCs w:val="22"/>
      <w:lang w:val="en-US" w:eastAsia="zh-CN" w:bidi="ar-SA"/>
    </w:rPr>
  </w:style>
  <w:style w:type="paragraph" w:customStyle="1" w:styleId="267">
    <w:name w:val="样式4"/>
    <w:basedOn w:val="7"/>
    <w:autoRedefine/>
    <w:qFormat/>
    <w:uiPriority w:val="0"/>
    <w:pPr>
      <w:autoSpaceDE/>
      <w:autoSpaceDN/>
      <w:adjustRightInd/>
      <w:spacing w:before="260" w:after="260" w:line="415" w:lineRule="auto"/>
    </w:pPr>
    <w:rPr>
      <w:rFonts w:ascii="Tahoma" w:eastAsia="Verdana"/>
      <w:b/>
      <w:bCs/>
      <w:kern w:val="2"/>
      <w:sz w:val="32"/>
      <w:szCs w:val="32"/>
    </w:rPr>
  </w:style>
  <w:style w:type="paragraph" w:customStyle="1" w:styleId="268">
    <w:name w:val="表格标题"/>
    <w:basedOn w:val="1"/>
    <w:autoRedefine/>
    <w:qFormat/>
    <w:uiPriority w:val="0"/>
    <w:pPr>
      <w:adjustRightInd w:val="0"/>
      <w:jc w:val="center"/>
      <w:textAlignment w:val="baseline"/>
    </w:pPr>
    <w:rPr>
      <w:rFonts w:ascii="Verdana" w:hAnsi="Verdana" w:eastAsia="仿宋_GB2312"/>
      <w:b/>
      <w:sz w:val="24"/>
      <w:szCs w:val="20"/>
    </w:rPr>
  </w:style>
  <w:style w:type="paragraph" w:customStyle="1" w:styleId="269">
    <w:name w:val="_Style 40"/>
    <w:basedOn w:val="1"/>
    <w:autoRedefine/>
    <w:qFormat/>
    <w:uiPriority w:val="0"/>
  </w:style>
  <w:style w:type="paragraph" w:customStyle="1" w:styleId="270">
    <w:name w:val="bt1bt1"/>
    <w:basedOn w:val="5"/>
    <w:autoRedefine/>
    <w:qFormat/>
    <w:uiPriority w:val="0"/>
    <w:pPr>
      <w:spacing w:line="240" w:lineRule="auto"/>
      <w:jc w:val="center"/>
    </w:pPr>
    <w:rPr>
      <w:rFonts w:ascii="华文细黑" w:eastAsia="华文细黑"/>
      <w:b w:val="0"/>
      <w:sz w:val="36"/>
      <w:szCs w:val="36"/>
    </w:rPr>
  </w:style>
  <w:style w:type="paragraph" w:customStyle="1" w:styleId="271">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18"/>
      <w:szCs w:val="18"/>
    </w:rPr>
  </w:style>
  <w:style w:type="paragraph" w:customStyle="1" w:styleId="272">
    <w:name w:val="xl4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18"/>
      <w:szCs w:val="18"/>
    </w:rPr>
  </w:style>
  <w:style w:type="paragraph" w:customStyle="1" w:styleId="273">
    <w:name w:val="正文 A"/>
    <w:autoRedefine/>
    <w:qFormat/>
    <w:uiPriority w:val="0"/>
    <w:pPr>
      <w:widowControl w:val="0"/>
      <w:jc w:val="both"/>
    </w:pPr>
    <w:rPr>
      <w:rFonts w:ascii="Tahoma" w:hAnsi="Tahoma" w:eastAsia="Tahoma" w:cs="Tahoma"/>
      <w:color w:val="000000"/>
      <w:kern w:val="2"/>
      <w:sz w:val="21"/>
      <w:szCs w:val="21"/>
      <w:u w:color="000000"/>
      <w:lang w:val="en-US" w:eastAsia="zh-CN" w:bidi="ar-SA"/>
    </w:rPr>
  </w:style>
  <w:style w:type="paragraph" w:customStyle="1" w:styleId="274">
    <w:name w:val="xl75"/>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20"/>
      <w:szCs w:val="20"/>
    </w:rPr>
  </w:style>
  <w:style w:type="paragraph" w:customStyle="1" w:styleId="275">
    <w:name w:val="Table Paragraph"/>
    <w:basedOn w:val="1"/>
    <w:autoRedefine/>
    <w:qFormat/>
    <w:uiPriority w:val="99"/>
    <w:pPr>
      <w:jc w:val="left"/>
    </w:pPr>
    <w:rPr>
      <w:rFonts w:cs="楷体_GB2312"/>
      <w:kern w:val="0"/>
      <w:sz w:val="22"/>
      <w:szCs w:val="22"/>
      <w:lang w:eastAsia="en-US"/>
    </w:rPr>
  </w:style>
  <w:style w:type="paragraph" w:customStyle="1" w:styleId="276">
    <w:name w:val="xl31"/>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Verdana" w:hAnsi="Verdana" w:cs="Verdana"/>
      <w:kern w:val="0"/>
      <w:sz w:val="20"/>
      <w:szCs w:val="20"/>
    </w:rPr>
  </w:style>
  <w:style w:type="paragraph" w:customStyle="1" w:styleId="277">
    <w:name w:val="xl59"/>
    <w:basedOn w:val="1"/>
    <w:qFormat/>
    <w:uiPriority w:val="0"/>
    <w:pPr>
      <w:widowControl/>
      <w:pBdr>
        <w:top w:val="single" w:color="auto" w:sz="4" w:space="0"/>
        <w:bottom w:val="single" w:color="auto" w:sz="4" w:space="0"/>
      </w:pBdr>
      <w:shd w:val="clear" w:color="auto" w:fill="FFFFFF"/>
      <w:spacing w:before="100" w:beforeAutospacing="1" w:after="100" w:afterAutospacing="1"/>
      <w:jc w:val="center"/>
    </w:pPr>
    <w:rPr>
      <w:rFonts w:ascii="EYInterstate Light" w:hAnsi="EYInterstate Light" w:cs="EYInterstate Light"/>
      <w:b/>
      <w:bCs/>
      <w:kern w:val="0"/>
      <w:sz w:val="20"/>
      <w:szCs w:val="20"/>
    </w:rPr>
  </w:style>
  <w:style w:type="paragraph" w:customStyle="1" w:styleId="278">
    <w:name w:val="xl28"/>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EYInterstate Light" w:hAnsi="EYInterstate Light" w:cs="EYInterstate Light"/>
      <w:kern w:val="0"/>
      <w:sz w:val="20"/>
      <w:szCs w:val="20"/>
    </w:rPr>
  </w:style>
  <w:style w:type="paragraph" w:customStyle="1" w:styleId="279">
    <w:name w:val="修订1"/>
    <w:autoRedefine/>
    <w:semiHidden/>
    <w:qFormat/>
    <w:uiPriority w:val="0"/>
    <w:rPr>
      <w:rFonts w:ascii="Tahoma" w:hAnsi="Tahoma" w:eastAsia="EYInterstate Light" w:cs="Tahoma"/>
      <w:kern w:val="2"/>
      <w:sz w:val="21"/>
      <w:szCs w:val="24"/>
      <w:lang w:val="en-US" w:eastAsia="zh-CN" w:bidi="ar-SA"/>
    </w:rPr>
  </w:style>
  <w:style w:type="paragraph" w:customStyle="1" w:styleId="280">
    <w:name w:val="xl41"/>
    <w:basedOn w:val="1"/>
    <w:autoRedefine/>
    <w:qFormat/>
    <w:uiPriority w:val="0"/>
    <w:pPr>
      <w:widowControl/>
      <w:pBdr>
        <w:top w:val="single" w:color="auto" w:sz="4" w:space="0"/>
        <w:lef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281">
    <w:name w:val="节"/>
    <w:basedOn w:val="6"/>
    <w:autoRedefine/>
    <w:qFormat/>
    <w:uiPriority w:val="0"/>
    <w:pPr>
      <w:numPr>
        <w:ilvl w:val="1"/>
        <w:numId w:val="2"/>
      </w:numPr>
      <w:spacing w:line="240" w:lineRule="auto"/>
    </w:pPr>
    <w:rPr>
      <w:rFonts w:ascii="华文细黑"/>
      <w:b w:val="0"/>
      <w:sz w:val="28"/>
      <w:szCs w:val="28"/>
    </w:rPr>
  </w:style>
  <w:style w:type="paragraph" w:customStyle="1" w:styleId="282">
    <w:name w:val="样式 标题 3 + 段前: 7.8 磅"/>
    <w:basedOn w:val="7"/>
    <w:autoRedefine/>
    <w:qFormat/>
    <w:uiPriority w:val="0"/>
    <w:pPr>
      <w:keepNext w:val="0"/>
      <w:keepLines w:val="0"/>
      <w:numPr>
        <w:ilvl w:val="0"/>
        <w:numId w:val="3"/>
      </w:numPr>
      <w:autoSpaceDE/>
      <w:autoSpaceDN/>
      <w:adjustRightInd/>
      <w:spacing w:before="156" w:after="0" w:line="360" w:lineRule="auto"/>
    </w:pPr>
    <w:rPr>
      <w:rFonts w:ascii="Tahoma" w:eastAsia="EYInterstate Light" w:cs="EYInterstate Light"/>
      <w:kern w:val="2"/>
      <w:sz w:val="24"/>
    </w:rPr>
  </w:style>
  <w:style w:type="paragraph" w:customStyle="1" w:styleId="283">
    <w:name w:val="p16"/>
    <w:basedOn w:val="1"/>
    <w:autoRedefine/>
    <w:qFormat/>
    <w:uiPriority w:val="0"/>
    <w:pPr>
      <w:widowControl/>
      <w:spacing w:before="100" w:after="100"/>
      <w:jc w:val="left"/>
    </w:pPr>
    <w:rPr>
      <w:rFonts w:ascii="EYInterstate Light" w:hAnsi="EYInterstate Light" w:cs="EYInterstate Light"/>
      <w:kern w:val="0"/>
      <w:sz w:val="24"/>
    </w:rPr>
  </w:style>
  <w:style w:type="paragraph" w:customStyle="1" w:styleId="284">
    <w:name w:val="Char Char Char Char Char Char Char Char Char Char Char Char Char1"/>
    <w:basedOn w:val="16"/>
    <w:autoRedefine/>
    <w:qFormat/>
    <w:uiPriority w:val="0"/>
    <w:pPr>
      <w:shd w:val="clear" w:color="auto" w:fill="000080"/>
    </w:pPr>
    <w:rPr>
      <w:rFonts w:ascii="Cambria" w:hAnsi="Cambria"/>
      <w:sz w:val="24"/>
      <w:szCs w:val="24"/>
    </w:rPr>
  </w:style>
  <w:style w:type="paragraph" w:customStyle="1" w:styleId="285">
    <w:name w:val="样式1"/>
    <w:basedOn w:val="7"/>
    <w:autoRedefine/>
    <w:qFormat/>
    <w:uiPriority w:val="0"/>
    <w:pPr>
      <w:autoSpaceDE/>
      <w:autoSpaceDN/>
      <w:adjustRightInd/>
      <w:spacing w:before="260" w:after="260" w:line="415" w:lineRule="auto"/>
    </w:pPr>
    <w:rPr>
      <w:rFonts w:ascii="Tahoma" w:eastAsia="Verdana"/>
      <w:b/>
      <w:bCs/>
      <w:kern w:val="2"/>
      <w:sz w:val="32"/>
      <w:szCs w:val="32"/>
    </w:rPr>
  </w:style>
  <w:style w:type="paragraph" w:customStyle="1" w:styleId="286">
    <w:name w:val="xl58"/>
    <w:basedOn w:val="1"/>
    <w:autoRedefine/>
    <w:qFormat/>
    <w:uiPriority w:val="0"/>
    <w:pPr>
      <w:widowControl/>
      <w:pBdr>
        <w:top w:val="single" w:color="auto" w:sz="4" w:space="0"/>
        <w:left w:val="single" w:color="auto" w:sz="4" w:space="0"/>
        <w:bottom w:val="single" w:color="auto" w:sz="4" w:space="0"/>
      </w:pBdr>
      <w:shd w:val="clear" w:color="auto" w:fill="FFFFFF"/>
      <w:spacing w:before="100" w:beforeAutospacing="1" w:after="100" w:afterAutospacing="1"/>
      <w:jc w:val="center"/>
    </w:pPr>
    <w:rPr>
      <w:rFonts w:ascii="EYInterstate Light" w:hAnsi="EYInterstate Light" w:cs="EYInterstate Light"/>
      <w:b/>
      <w:bCs/>
      <w:kern w:val="0"/>
      <w:sz w:val="20"/>
      <w:szCs w:val="20"/>
    </w:rPr>
  </w:style>
  <w:style w:type="paragraph" w:customStyle="1" w:styleId="287">
    <w:name w:val="列出段落 Char"/>
    <w:autoRedefine/>
    <w:qFormat/>
    <w:uiPriority w:val="0"/>
    <w:pPr>
      <w:jc w:val="both"/>
    </w:pPr>
    <w:rPr>
      <w:rFonts w:ascii="Tahoma" w:hAnsi="Tahoma" w:eastAsia="EYInterstate Light" w:cs="Tahoma"/>
      <w:sz w:val="21"/>
      <w:lang w:val="en-US" w:eastAsia="zh-CN" w:bidi="ar-SA"/>
    </w:rPr>
  </w:style>
  <w:style w:type="paragraph" w:customStyle="1" w:styleId="288">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EYInterstate Light" w:hAnsi="EYInterstate Light" w:cs="EYInterstate Light"/>
      <w:kern w:val="0"/>
      <w:sz w:val="20"/>
      <w:szCs w:val="20"/>
    </w:rPr>
  </w:style>
  <w:style w:type="paragraph" w:customStyle="1" w:styleId="289">
    <w:name w:val="xl53"/>
    <w:basedOn w:val="1"/>
    <w:autoRedefine/>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EYInterstate Light" w:hAnsi="EYInterstate Light" w:cs="EYInterstate Light"/>
      <w:b/>
      <w:bCs/>
      <w:kern w:val="0"/>
      <w:sz w:val="20"/>
      <w:szCs w:val="20"/>
    </w:rPr>
  </w:style>
  <w:style w:type="paragraph" w:customStyle="1" w:styleId="290">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EYInterstate Light" w:hAnsi="EYInterstate Light" w:cs="EYInterstate Light"/>
      <w:kern w:val="0"/>
      <w:sz w:val="18"/>
      <w:szCs w:val="18"/>
    </w:rPr>
  </w:style>
  <w:style w:type="paragraph" w:customStyle="1" w:styleId="291">
    <w:name w:val="MCS Title"/>
    <w:basedOn w:val="1"/>
    <w:autoRedefine/>
    <w:qFormat/>
    <w:uiPriority w:val="0"/>
    <w:pPr>
      <w:keepLines/>
      <w:widowControl/>
      <w:spacing w:before="120" w:after="60" w:line="180" w:lineRule="exact"/>
      <w:jc w:val="center"/>
    </w:pPr>
    <w:rPr>
      <w:rFonts w:eastAsia="Tahoma"/>
      <w:b/>
      <w:kern w:val="0"/>
      <w:sz w:val="20"/>
      <w:szCs w:val="20"/>
      <w:lang w:val="en-AU" w:eastAsia="en-US"/>
    </w:rPr>
  </w:style>
  <w:style w:type="paragraph" w:customStyle="1" w:styleId="292">
    <w:name w:val="列出段落2"/>
    <w:basedOn w:val="1"/>
    <w:autoRedefine/>
    <w:qFormat/>
    <w:uiPriority w:val="34"/>
    <w:pPr>
      <w:ind w:firstLine="420" w:firstLineChars="200"/>
    </w:pPr>
    <w:rPr>
      <w:szCs w:val="20"/>
    </w:rPr>
  </w:style>
  <w:style w:type="paragraph" w:customStyle="1" w:styleId="293">
    <w:name w:val="xl49"/>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EYInterstate Light" w:hAnsi="EYInterstate Light" w:cs="EYInterstate Light"/>
      <w:kern w:val="0"/>
      <w:sz w:val="18"/>
      <w:szCs w:val="18"/>
    </w:rPr>
  </w:style>
  <w:style w:type="paragraph" w:customStyle="1" w:styleId="294">
    <w:name w:val="Char Char Char Char Char Char Char Char Char Char Char Char Char Char Char Char Char Char Char Char Char Char Char Char Char Char Char Char Char Char Char Char Char1"/>
    <w:basedOn w:val="1"/>
    <w:autoRedefine/>
    <w:qFormat/>
    <w:uiPriority w:val="0"/>
    <w:pPr>
      <w:widowControl/>
      <w:spacing w:after="160" w:line="240" w:lineRule="exact"/>
      <w:jc w:val="left"/>
    </w:pPr>
    <w:rPr>
      <w:rFonts w:ascii="华文中宋" w:hAnsi="华文中宋" w:eastAsia="等线 Light"/>
      <w:kern w:val="0"/>
      <w:sz w:val="24"/>
      <w:szCs w:val="20"/>
      <w:lang w:eastAsia="en-US"/>
    </w:rPr>
  </w:style>
  <w:style w:type="paragraph" w:customStyle="1" w:styleId="295">
    <w:name w:val="Normal_4"/>
    <w:autoRedefine/>
    <w:qFormat/>
    <w:uiPriority w:val="0"/>
    <w:pPr>
      <w:spacing w:before="120" w:after="240"/>
      <w:jc w:val="both"/>
    </w:pPr>
    <w:rPr>
      <w:rFonts w:ascii="Tahoma" w:hAnsi="Tahoma" w:eastAsia="EYInterstate Light" w:cs="Tahoma"/>
      <w:sz w:val="22"/>
      <w:szCs w:val="22"/>
      <w:lang w:val="en-US" w:eastAsia="en-US" w:bidi="ar-SA"/>
    </w:rPr>
  </w:style>
  <w:style w:type="paragraph" w:customStyle="1" w:styleId="296">
    <w:name w:val="正文缩进1"/>
    <w:basedOn w:val="1"/>
    <w:autoRedefine/>
    <w:qFormat/>
    <w:uiPriority w:val="0"/>
    <w:pPr>
      <w:autoSpaceDE w:val="0"/>
      <w:autoSpaceDN w:val="0"/>
      <w:adjustRightInd w:val="0"/>
      <w:spacing w:line="315" w:lineRule="atLeast"/>
      <w:ind w:firstLine="420"/>
      <w:jc w:val="left"/>
    </w:pPr>
    <w:rPr>
      <w:rFonts w:ascii="Cambria Math" w:eastAsia="Cambria Math"/>
      <w:kern w:val="0"/>
      <w:sz w:val="28"/>
      <w:szCs w:val="20"/>
    </w:rPr>
  </w:style>
  <w:style w:type="paragraph" w:customStyle="1" w:styleId="297">
    <w:name w:val="表格文字"/>
    <w:basedOn w:val="1"/>
    <w:next w:val="2"/>
    <w:autoRedefine/>
    <w:qFormat/>
    <w:uiPriority w:val="0"/>
    <w:pPr>
      <w:adjustRightInd w:val="0"/>
      <w:spacing w:line="420" w:lineRule="atLeast"/>
      <w:jc w:val="left"/>
      <w:textAlignment w:val="baseline"/>
    </w:pPr>
    <w:rPr>
      <w:kern w:val="0"/>
      <w:szCs w:val="20"/>
    </w:rPr>
  </w:style>
  <w:style w:type="paragraph" w:customStyle="1" w:styleId="298">
    <w:name w:val="日期11"/>
    <w:basedOn w:val="1"/>
    <w:next w:val="1"/>
    <w:autoRedefine/>
    <w:qFormat/>
    <w:uiPriority w:val="0"/>
    <w:pPr>
      <w:overflowPunct w:val="0"/>
      <w:autoSpaceDE w:val="0"/>
      <w:autoSpaceDN w:val="0"/>
      <w:adjustRightInd w:val="0"/>
      <w:textAlignment w:val="baseline"/>
    </w:pPr>
    <w:rPr>
      <w:szCs w:val="20"/>
    </w:rPr>
  </w:style>
  <w:style w:type="paragraph" w:customStyle="1" w:styleId="299">
    <w:name w:val="样式3"/>
    <w:basedOn w:val="7"/>
    <w:autoRedefine/>
    <w:qFormat/>
    <w:uiPriority w:val="0"/>
    <w:pPr>
      <w:autoSpaceDE/>
      <w:autoSpaceDN/>
      <w:adjustRightInd/>
      <w:spacing w:before="260" w:after="260" w:line="415" w:lineRule="auto"/>
    </w:pPr>
    <w:rPr>
      <w:rFonts w:ascii="Tahoma" w:eastAsia="Verdana"/>
      <w:b/>
      <w:bCs/>
      <w:kern w:val="2"/>
      <w:sz w:val="32"/>
      <w:szCs w:val="32"/>
    </w:rPr>
  </w:style>
  <w:style w:type="paragraph" w:customStyle="1" w:styleId="300">
    <w:name w:val="xl63"/>
    <w:basedOn w:val="1"/>
    <w:autoRedefine/>
    <w:qFormat/>
    <w:uiPriority w:val="0"/>
    <w:pPr>
      <w:widowControl/>
      <w:pBdr>
        <w:top w:val="single" w:color="auto" w:sz="4" w:space="0"/>
        <w:left w:val="single" w:color="auto" w:sz="4" w:space="0"/>
        <w:right w:val="single" w:color="auto" w:sz="4" w:space="0"/>
      </w:pBdr>
      <w:shd w:val="clear" w:color="auto" w:fill="FFFFFF"/>
      <w:spacing w:before="100" w:beforeAutospacing="1" w:after="100" w:afterAutospacing="1"/>
      <w:jc w:val="left"/>
    </w:pPr>
    <w:rPr>
      <w:rFonts w:ascii="EYInterstate Light" w:hAnsi="EYInterstate Light" w:cs="EYInterstate Light"/>
      <w:kern w:val="0"/>
      <w:sz w:val="20"/>
      <w:szCs w:val="20"/>
    </w:rPr>
  </w:style>
  <w:style w:type="paragraph" w:customStyle="1" w:styleId="301">
    <w:name w:val="Char3"/>
    <w:basedOn w:val="1"/>
    <w:autoRedefine/>
    <w:qFormat/>
    <w:uiPriority w:val="0"/>
    <w:rPr>
      <w:rFonts w:eastAsia="等线 Light"/>
      <w:sz w:val="28"/>
    </w:rPr>
  </w:style>
  <w:style w:type="paragraph" w:customStyle="1" w:styleId="302">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Verdana" w:hAnsi="Verdana" w:cs="Verdana"/>
      <w:kern w:val="0"/>
      <w:sz w:val="20"/>
      <w:szCs w:val="20"/>
    </w:rPr>
  </w:style>
  <w:style w:type="paragraph" w:customStyle="1" w:styleId="303">
    <w:name w:val="xl55"/>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EYInterstate Light" w:hAnsi="EYInterstate Light" w:cs="EYInterstate Light"/>
      <w:b/>
      <w:bCs/>
      <w:kern w:val="0"/>
      <w:sz w:val="20"/>
      <w:szCs w:val="20"/>
    </w:rPr>
  </w:style>
  <w:style w:type="paragraph" w:customStyle="1" w:styleId="304">
    <w:name w:val="正文缩进2"/>
    <w:basedOn w:val="1"/>
    <w:autoRedefine/>
    <w:qFormat/>
    <w:uiPriority w:val="0"/>
    <w:pPr>
      <w:autoSpaceDE w:val="0"/>
      <w:autoSpaceDN w:val="0"/>
      <w:adjustRightInd w:val="0"/>
      <w:spacing w:line="315" w:lineRule="atLeast"/>
      <w:ind w:firstLine="420"/>
      <w:jc w:val="left"/>
    </w:pPr>
    <w:rPr>
      <w:rFonts w:ascii="Cambria Math" w:eastAsia="Cambria Math"/>
      <w:kern w:val="0"/>
      <w:sz w:val="28"/>
      <w:szCs w:val="20"/>
    </w:rPr>
  </w:style>
  <w:style w:type="paragraph" w:customStyle="1" w:styleId="305">
    <w:name w:val="xl62"/>
    <w:basedOn w:val="1"/>
    <w:autoRedefine/>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center"/>
    </w:pPr>
    <w:rPr>
      <w:rFonts w:ascii="EYInterstate Light" w:hAnsi="EYInterstate Light" w:cs="EYInterstate Light"/>
      <w:b/>
      <w:bCs/>
      <w:kern w:val="0"/>
      <w:sz w:val="20"/>
      <w:szCs w:val="20"/>
    </w:rPr>
  </w:style>
  <w:style w:type="paragraph" w:customStyle="1" w:styleId="306">
    <w:name w:val="xl64"/>
    <w:basedOn w:val="1"/>
    <w:autoRedefine/>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jc w:val="left"/>
    </w:pPr>
    <w:rPr>
      <w:rFonts w:ascii="EYInterstate Light" w:hAnsi="EYInterstate Light" w:cs="EYInterstate Light"/>
      <w:kern w:val="0"/>
      <w:sz w:val="20"/>
      <w:szCs w:val="20"/>
    </w:rPr>
  </w:style>
  <w:style w:type="paragraph" w:customStyle="1" w:styleId="307">
    <w:name w:val="xl7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EYInterstate Light" w:hAnsi="EYInterstate Light" w:cs="EYInterstate Light"/>
      <w:kern w:val="0"/>
      <w:sz w:val="20"/>
      <w:szCs w:val="20"/>
    </w:rPr>
  </w:style>
  <w:style w:type="table" w:customStyle="1" w:styleId="308">
    <w:name w:val="网格型1"/>
    <w:basedOn w:val="48"/>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309">
    <w:name w:val="Table Normal1"/>
    <w:autoRedefine/>
    <w:semiHidden/>
    <w:qFormat/>
    <w:uiPriority w:val="99"/>
    <w:pPr>
      <w:widowControl w:val="0"/>
    </w:pPr>
    <w:rPr>
      <w:rFonts w:cs="楷体_GB2312"/>
      <w:sz w:val="22"/>
      <w:szCs w:val="22"/>
      <w:lang w:eastAsia="en-US"/>
    </w:rPr>
    <w:tblPr>
      <w:tblCellMar>
        <w:top w:w="0" w:type="dxa"/>
        <w:left w:w="0" w:type="dxa"/>
        <w:bottom w:w="0" w:type="dxa"/>
        <w:right w:w="0" w:type="dxa"/>
      </w:tblCellMar>
    </w:tblPr>
  </w:style>
  <w:style w:type="paragraph" w:customStyle="1" w:styleId="310">
    <w:name w:val="表格内"/>
    <w:basedOn w:val="1"/>
    <w:autoRedefine/>
    <w:qFormat/>
    <w:uiPriority w:val="0"/>
    <w:rPr>
      <w:rFonts w:ascii="Times New Roman" w:hAnsi="宋体" w:eastAsia="宋体" w:cs="Times New Roman (正文 CS 字体)"/>
      <w:szCs w:val="21"/>
    </w:rPr>
  </w:style>
  <w:style w:type="paragraph" w:customStyle="1" w:styleId="311">
    <w:name w:val="WPSOffice手动目录 1"/>
    <w:qFormat/>
    <w:uiPriority w:val="0"/>
    <w:rPr>
      <w:rFonts w:ascii="Times New Roman" w:hAnsi="Times New Roman" w:eastAsia="宋体" w:cs="Times New Roman"/>
      <w:lang w:val="en-US" w:eastAsia="zh-CN" w:bidi="ar-SA"/>
    </w:rPr>
  </w:style>
  <w:style w:type="paragraph" w:customStyle="1" w:styleId="312">
    <w:name w:val="WPSOffice手动目录 2"/>
    <w:autoRedefine/>
    <w:qFormat/>
    <w:uiPriority w:val="0"/>
    <w:pPr>
      <w:ind w:left="200" w:leftChars="200"/>
    </w:pPr>
    <w:rPr>
      <w:rFonts w:ascii="Times New Roman" w:hAnsi="Times New Roman" w:eastAsia="宋体" w:cs="Times New Roman"/>
      <w:lang w:val="en-US" w:eastAsia="zh-CN" w:bidi="ar-SA"/>
    </w:rPr>
  </w:style>
  <w:style w:type="paragraph" w:customStyle="1" w:styleId="313">
    <w:name w:val="WPSOffice手动目录 3"/>
    <w:autoRedefine/>
    <w:qFormat/>
    <w:uiPriority w:val="0"/>
    <w:pPr>
      <w:ind w:left="400" w:leftChars="400"/>
    </w:pPr>
    <w:rPr>
      <w:rFonts w:ascii="Times New Roman" w:hAnsi="Times New Roman" w:eastAsia="宋体" w:cs="Times New Roman"/>
      <w:lang w:val="en-US" w:eastAsia="zh-CN" w:bidi="ar-SA"/>
    </w:rPr>
  </w:style>
  <w:style w:type="character" w:customStyle="1" w:styleId="314">
    <w:name w:val="font101"/>
    <w:autoRedefine/>
    <w:qFormat/>
    <w:uiPriority w:val="0"/>
    <w:rPr>
      <w:rFonts w:hint="eastAsia" w:ascii="宋体" w:hAnsi="宋体" w:eastAsia="宋体" w:cs="宋体"/>
      <w:color w:val="000000"/>
      <w:sz w:val="20"/>
      <w:szCs w:val="20"/>
      <w:u w:val="none"/>
    </w:rPr>
  </w:style>
  <w:style w:type="character" w:customStyle="1" w:styleId="315">
    <w:name w:val="font81"/>
    <w:autoRedefine/>
    <w:qFormat/>
    <w:uiPriority w:val="0"/>
    <w:rPr>
      <w:rFonts w:hint="default" w:ascii="Arial" w:hAnsi="Arial" w:cs="Arial"/>
      <w:color w:val="000000"/>
      <w:sz w:val="20"/>
      <w:szCs w:val="20"/>
      <w:u w:val="none"/>
    </w:rPr>
  </w:style>
  <w:style w:type="character" w:customStyle="1" w:styleId="316">
    <w:name w:val="font61"/>
    <w:qFormat/>
    <w:uiPriority w:val="0"/>
    <w:rPr>
      <w:rFonts w:hint="eastAsia" w:ascii="宋体" w:hAnsi="宋体" w:eastAsia="宋体" w:cs="宋体"/>
      <w:color w:val="000000"/>
      <w:sz w:val="24"/>
      <w:szCs w:val="24"/>
      <w:u w:val="none"/>
    </w:rPr>
  </w:style>
  <w:style w:type="character" w:customStyle="1" w:styleId="317">
    <w:name w:val="font121"/>
    <w:qFormat/>
    <w:uiPriority w:val="0"/>
    <w:rPr>
      <w:rFonts w:hint="default" w:ascii="Arial" w:hAnsi="Arial" w:cs="Arial"/>
      <w:color w:val="000000"/>
      <w:sz w:val="24"/>
      <w:szCs w:val="24"/>
      <w:u w:val="none"/>
    </w:rPr>
  </w:style>
  <w:style w:type="paragraph" w:customStyle="1" w:styleId="318">
    <w:name w:val="列出段落3"/>
    <w:basedOn w:val="1"/>
    <w:autoRedefine/>
    <w:qFormat/>
    <w:uiPriority w:val="34"/>
    <w:pPr>
      <w:ind w:firstLine="420" w:firstLineChars="200"/>
    </w:pPr>
    <w:rPr>
      <w:rFonts w:ascii="Calibri" w:hAnsi="Calibri" w:eastAsia="宋体" w:cs="Times New Roman"/>
      <w:szCs w:val="22"/>
    </w:rPr>
  </w:style>
  <w:style w:type="character" w:customStyle="1" w:styleId="319">
    <w:name w:val="font31"/>
    <w:autoRedefine/>
    <w:qFormat/>
    <w:uiPriority w:val="0"/>
    <w:rPr>
      <w:rFonts w:hint="eastAsia" w:ascii="宋体" w:hAnsi="宋体" w:eastAsia="宋体" w:cs="宋体"/>
      <w:color w:val="000000"/>
      <w:sz w:val="24"/>
      <w:szCs w:val="24"/>
      <w:u w:val="none"/>
    </w:rPr>
  </w:style>
  <w:style w:type="character" w:customStyle="1" w:styleId="320">
    <w:name w:val="font41"/>
    <w:autoRedefine/>
    <w:qFormat/>
    <w:uiPriority w:val="0"/>
    <w:rPr>
      <w:rFonts w:hint="eastAsia" w:ascii="宋体" w:hAnsi="宋体" w:eastAsia="宋体" w:cs="宋体"/>
      <w:color w:val="000000"/>
      <w:sz w:val="24"/>
      <w:szCs w:val="24"/>
      <w:u w:val="none"/>
    </w:rPr>
  </w:style>
  <w:style w:type="character" w:customStyle="1" w:styleId="321">
    <w:name w:val="font21"/>
    <w:basedOn w:val="50"/>
    <w:qFormat/>
    <w:uiPriority w:val="0"/>
    <w:rPr>
      <w:rFonts w:hint="eastAsia" w:ascii="宋体" w:hAnsi="宋体" w:eastAsia="宋体" w:cs="宋体"/>
      <w:color w:val="000000"/>
      <w:sz w:val="18"/>
      <w:szCs w:val="18"/>
      <w:u w:val="none"/>
    </w:rPr>
  </w:style>
  <w:style w:type="character" w:customStyle="1" w:styleId="322">
    <w:name w:val="font51"/>
    <w:basedOn w:val="50"/>
    <w:autoRedefine/>
    <w:qFormat/>
    <w:uiPriority w:val="0"/>
    <w:rPr>
      <w:rFonts w:hint="eastAsia" w:ascii="宋体" w:hAnsi="宋体" w:eastAsia="宋体" w:cs="宋体"/>
      <w:color w:val="FF0000"/>
      <w:sz w:val="18"/>
      <w:szCs w:val="18"/>
      <w:u w:val="none"/>
    </w:rPr>
  </w:style>
  <w:style w:type="character" w:customStyle="1" w:styleId="323">
    <w:name w:val="font11"/>
    <w:basedOn w:val="50"/>
    <w:qFormat/>
    <w:uiPriority w:val="0"/>
    <w:rPr>
      <w:rFonts w:hint="eastAsia" w:ascii="宋体" w:hAnsi="宋体" w:eastAsia="宋体" w:cs="宋体"/>
      <w:b/>
      <w:color w:val="000000"/>
      <w:sz w:val="21"/>
      <w:szCs w:val="21"/>
      <w:u w:val="none"/>
    </w:rPr>
  </w:style>
  <w:style w:type="character" w:customStyle="1" w:styleId="324">
    <w:name w:val="font91"/>
    <w:basedOn w:val="50"/>
    <w:autoRedefine/>
    <w:qFormat/>
    <w:uiPriority w:val="0"/>
    <w:rPr>
      <w:rFonts w:hint="eastAsia" w:ascii="宋体" w:hAnsi="宋体" w:eastAsia="宋体" w:cs="宋体"/>
      <w:color w:val="000000"/>
      <w:sz w:val="24"/>
      <w:szCs w:val="24"/>
      <w:u w:val="none"/>
    </w:rPr>
  </w:style>
  <w:style w:type="paragraph" w:customStyle="1" w:styleId="325">
    <w:name w:val="列出段落4"/>
    <w:basedOn w:val="1"/>
    <w:autoRedefine/>
    <w:qFormat/>
    <w:uiPriority w:val="99"/>
    <w:pPr>
      <w:ind w:firstLine="420" w:firstLineChars="200"/>
    </w:pPr>
  </w:style>
  <w:style w:type="paragraph" w:customStyle="1" w:styleId="326">
    <w:name w:val="Quote1"/>
    <w:next w:val="1"/>
    <w:qFormat/>
    <w:uiPriority w:val="99"/>
    <w:pPr>
      <w:wordWrap w:val="0"/>
      <w:spacing w:before="200" w:after="160"/>
      <w:ind w:left="864" w:right="864"/>
      <w:jc w:val="center"/>
    </w:pPr>
    <w:rPr>
      <w:rFonts w:ascii="宋体" w:hAnsi="Times New Roman" w:eastAsia="宋体" w:cs="Times New Roman"/>
      <w:i/>
      <w:color w:val="404040"/>
      <w:kern w:val="2"/>
      <w:sz w:val="21"/>
      <w:szCs w:val="24"/>
      <w:lang w:val="en-US" w:eastAsia="zh-CN" w:bidi="ar-SA"/>
    </w:rPr>
  </w:style>
  <w:style w:type="paragraph" w:customStyle="1" w:styleId="327">
    <w:name w:val="正文文本首行缩进 2"/>
    <w:basedOn w:val="20"/>
    <w:qFormat/>
    <w:uiPriority w:val="99"/>
    <w:pPr>
      <w:spacing w:line="200" w:lineRule="atLeast"/>
      <w:ind w:firstLine="420"/>
    </w:pPr>
    <w:rPr>
      <w:rFonts w:hAnsi="Courier New"/>
      <w:spacing w:val="-4"/>
      <w:sz w:val="18"/>
      <w:szCs w:val="18"/>
    </w:rPr>
  </w:style>
  <w:style w:type="paragraph" w:customStyle="1" w:styleId="328">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C1A5B1-5024-4CCE-B276-EBA32ADB4CCD}">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74</Pages>
  <Words>28428</Words>
  <Characters>29393</Characters>
  <Lines>233</Lines>
  <Paragraphs>65</Paragraphs>
  <TotalTime>5</TotalTime>
  <ScaleCrop>false</ScaleCrop>
  <LinksUpToDate>false</LinksUpToDate>
  <CharactersWithSpaces>31042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2022-05-30T11:22:00Z</dcterms:created>
  <dc:creator>周峰</dc:creator>
  <cp:lastModifiedBy>不期而遇</cp:lastModifiedBy>
  <cp:lastPrinted>2019-01-02T00:51:00Z</cp:lastPrinted>
  <dcterms:modified xsi:type="dcterms:W3CDTF">2024-04-22T06:58:14Z</dcterms:modified>
  <dc:title>招标文件</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2D3018F41BBC404B912EBD2DE0CA3276_13</vt:lpwstr>
  </property>
</Properties>
</file>